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ATAS/515/2011 vom 24. Mai 2011</w:t>
      </w:r>
    </w:p>
    <w:p>
      <w:r>
        <w:t>GE Cour de justice, 2011-05-24, FR</w:t>
      </w:r>
    </w:p>
    <w:p>
      <w:r>
        <w:rPr>
          <w:b/>
        </w:rPr>
        <w:t xml:space="preserve">Quelle: </w:t>
      </w:r>
      <w:r>
        <w:t>https://mcp.opencaselaw.ch/entscheid/ge_gerichte_ATAS_515_2011</w:t>
      </w:r>
    </w:p>
    <w:p>
      <w:r>
        <w:t>FR: GE_GERICHTE ATAS/515/2011 du 24 mai 2011</w:t>
      </w:r>
    </w:p>
    <w:p>
      <w:r>
        <w:t>IT: GE_GERICHTE ATAS/515/2011 del 24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(ATF 130 V 345, consid. 3).</w:t>
      </w:r>
    </w:p>
    <w:p>
      <w:r>
        <w:rPr>
          <w:b/>
        </w:rPr>
        <w:t>E. 3</w:t>
      </w:r>
    </w:p>
    <w:p>
      <w:r>
        <w:t>Interjeté dans les forme et délai prévus par la loi (art. 56 ss LPGA), le recours est recevable.</w:t>
      </w:r>
    </w:p>
    <w:p>
      <w:r>
        <w:rPr>
          <w:b/>
        </w:rPr>
        <w:t>E. 4</w:t>
      </w:r>
    </w:p>
    <w:p>
      <w:r>
        <w:t>L’objet du litige porte sur le droit de la recourante à des prestations de l’assurance- accidents dès le 15 juin 2010.</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Les prestations de l’assurance-accidents comprennent la prise en charge du traitement médical (art. 19 al. 1 LAA), qui existe aussi longtemps qu’on peut en attendre une amélioration sensible de l'état de santé de l'assuré (ATF U 391/00 du</w:t>
      </w:r>
    </w:p>
    <w:p>
      <w:r>
        <w:rPr>
          <w:b/>
        </w:rPr>
        <w:t>E. 9</w:t>
      </w:r>
    </w:p>
    <w:p>
      <w:r>
        <w:t>Eu égard à ce qui précède, c'est à bon droit que l'intimée a mis fin aux prestations dès le 15 juin 2010. Le recours, en tous points mal fondé, sera rejeté.</w:t>
      </w:r>
    </w:p>
    <w:p>
      <w:r>
        <w:t>A/3068/2010 - 12/12 -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