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ATAS/514/2025 vom 26. Juni 2025</w:t>
      </w:r>
    </w:p>
    <w:p>
      <w:r>
        <w:t>GE Cour de justice, 2025-06-26, FR</w:t>
      </w:r>
    </w:p>
    <w:p>
      <w:r>
        <w:rPr>
          <w:b/>
        </w:rPr>
        <w:t xml:space="preserve">Quelle: </w:t>
      </w:r>
      <w:r>
        <w:t>https://mcp.opencaselaw.ch/entscheid/ge_gerichte_ATAS_514_2025</w:t>
      </w:r>
    </w:p>
    <w:p>
      <w:r>
        <w:t>FR: GE_GERICHTE ATAS/514/2025 du 26 juin 2025</w:t>
      </w:r>
    </w:p>
    <w:p>
      <w:r>
        <w:t>IT: GE_GERICHTE ATAS/514/2025 del 26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A/2669/2024 - 5/11 -</w:t>
      </w:r>
    </w:p>
    <w:p>
      <w:r>
        <w:rPr>
          <w:b/>
        </w:rPr>
        <w:t>E. 1.2</w:t>
      </w:r>
    </w:p>
    <w:p>
      <w:r>
        <w:t>Interjeté en temps utile, le recours est recevable (art. 60 al. 1 LPGA).</w:t>
      </w:r>
    </w:p>
    <w:p>
      <w:r>
        <w:rPr>
          <w:b/>
        </w:rPr>
        <w:t>E. 2.1</w:t>
      </w:r>
    </w:p>
    <w:p>
      <w:r>
        <w:t>Le 1er janvier 2021 est entrée en vigueur la modification du 21 juin 2019 de la LPGA. Dans la mesure où le recours a été interjeté postérieurement au 1er janvier 2021, il est soumis au nouveau droit (cf. art. 82a LPGA a contrario).</w:t>
      </w:r>
    </w:p>
    <w:p>
      <w:r>
        <w:rPr>
          <w:b/>
        </w:rPr>
        <w:t>E. 2.2</w:t>
      </w:r>
    </w:p>
    <w:p>
      <w:r>
        <w:t>Le 1er janvier 2022, sont entrées en vigueur les modifications de la LAI du 19 juin 2020 (développement continu de l’AI ; RO 2021 705).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la décision querellée porte sur l’octroi d’une rente dont le droit naîtrait, cas échéant, postérieurement au 31 décembre 2021, de sorte que les dispositions légales applicables seront citées dans leur nouvelle teneur.</w:t>
      </w:r>
    </w:p>
    <w:p>
      <w:r>
        <w:rPr>
          <w:b/>
        </w:rPr>
        <w:t>E. 3</w:t>
      </w:r>
    </w:p>
    <w:p>
      <w:r>
        <w:t>Le litige porte sur le droit de la recourante aux prestations de l’assurance- invalidité, plus particulièrement sur le statut et le degré d’invalidité à lui reconnaître.</w:t>
      </w:r>
    </w:p>
    <w:p>
      <w:r>
        <w:rPr>
          <w:b/>
        </w:rPr>
        <w:t>E. 4.1.1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w:t>
      </w:r>
    </w:p>
    <w:p>
      <w:r>
        <w:t>A/2669/2024 - 6/11 - déduite d'indices extérieurs (arrêt du Tribunal fédéral 9C_55/2015 du 11 mai 2015 consid. 2.3 et l'arrêt cité) établis au degré de la vraisemblance prépondérante tel que requis en droit des assurances sociales (ATF 126 V 353 consid. 5b).</w:t>
      </w:r>
    </w:p>
    <w:p>
      <w:r>
        <w:rPr>
          <w:b/>
        </w:rPr>
        <w:t>E. 4.1.2</w:t>
      </w:r>
    </w:p>
    <w:p>
      <w:r>
        <w:t>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4.2.1</w:t>
      </w:r>
    </w:p>
    <w:p>
      <w:r>
        <w:t>Selon l’art. 28a al. 2 LAI, dans sa teneur en vigueur dès le 1er janvier 2022,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w:t>
      </w:r>
    </w:p>
    <w:p>
      <w:r>
        <w:rPr>
          <w:b/>
        </w:rPr>
        <w:t>E. 4.2.2</w:t>
      </w:r>
    </w:p>
    <w:p>
      <w:r>
        <w:t>Le degré d’invalidité se détermine alors,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 arrêt du Tribunal fédéral 9C_191/2021 du 25 novembre 2021 consid. 6.2.2 et les références).</w:t>
      </w:r>
    </w:p>
    <w:p>
      <w:r>
        <w:t>A/2669/2024 - 7/11 -</w:t>
      </w:r>
    </w:p>
    <w:p>
      <w:r>
        <w:rPr>
          <w:b/>
        </w:rPr>
        <w:t>E. 4.2.3</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 129 V 67 consid. 2.3.2 publié in VSI 2003 p. 221 ; arrêts du Tribunal fédéral 9C_625/2017 du 26 mars 2018 consid. 6.2 ; I 733/06 du 16 juillet 2007).</w:t>
      </w:r>
    </w:p>
    <w:p>
      <w:r>
        <w:rPr>
          <w:b/>
        </w:rPr>
        <w:t>E. 4.2.4</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I 308/04 ; I 309/04 du 14 janvier 2005).</w:t>
      </w:r>
    </w:p>
    <w:p>
      <w:r>
        <w:rPr>
          <w:b/>
        </w:rPr>
        <w:t>E. 4.2.5</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w:t>
      </w:r>
    </w:p>
    <w:p>
      <w:r>
        <w:t>A/2669/2024 - 8/11 -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En l’espèce, les parties s’opposent tout d’abord quant au statut à reconnaître à la recourante, lequel a des conséquences sur la méthode de calcul applicable. Pour l’OAI, la recourante doit être qualifiée de personne non active, ce que l’intéressée conteste.</w:t>
      </w:r>
    </w:p>
    <w:p>
      <w:r>
        <w:t>A/2669/2024 - 9/11 -</w:t>
      </w:r>
    </w:p>
    <w:p>
      <w:r>
        <w:rPr>
          <w:b/>
        </w:rPr>
        <w:t>E. 6.1.1</w:t>
      </w:r>
    </w:p>
    <w:p>
      <w:r>
        <w:t>Il s’agit en l’occurrence de la quatrième demande de prestations déposée par la recourante. Il convient de relever que, depuis la première, déposée en 2015, elle a toujours allégué être femme au foyer et ce, depuis 1999, soit bien avant l’apparition de l’atteinte à la santé. Ce n’est que lorsqu’elle a consulté un avocat, suite à la réception du projet de décision du 2 mai 2024, que la recourante a allégué pour la première fois qu’elle aurait travaillé, si sa santé le lui avait permis. En principe, en présence de versions différentes et contradictoires, la préférence doit être accordée à celle que la personne assurée a donnée alors qu'elle en ignorait peut-être les conséquences juridiques, les explications nouvelles pouvant être, consciemment ou non, le fruit de réflexions ultérieures. Certes, cette jurisprudence concernant les premières déclarations ou les déclarations de la première heure ne constitue pas une règle de droit absolue. Elle trouve toutefois application en l’espèce, aucun élément au dossier ne venant étayer le prétendu souhait de travailler de la recourante. Bien au contraire, il ressort de l’extrait du rassemblement de ses comptes individuels AVS que l’assurée cotise en tant que personne sans activité lucrative depuis 2010. Aucune recherche d’emploi ou inscription au chômage ne figure au dossier. Il n’y a pas non plus eu de modification de la situation financière de l’intéressée, qui bénéficie de l’aide de l’Hospice général depuis juin 2005. Aucun élément objectif ne vient donc corroborer les allégations selon lesquelles elle aurait travaillé si son état de santé le lui avait permis. Eu égard à ce qui précède, il convient de confirmer le statut de personne non active retenu par l’intimé.</w:t>
      </w:r>
    </w:p>
    <w:p>
      <w:r>
        <w:rPr>
          <w:b/>
        </w:rPr>
        <w:t>E. 6.2</w:t>
      </w:r>
    </w:p>
    <w:p>
      <w:r>
        <w:t>La recourante conteste également les conclusions de l’enquête à domicile, notamment les empêchements retenus et l’aide exigible de ses enfants, sans pour autant amener le moindre argument à l’appui de sa position. Non seulement la recourante ne motive pas sa position plus avant, mais au surplus, les conclusions de l’enquête reposent sur les explications de la recourante elle-même. Qui plus est, l’enquêtrice a tenu compte des diagnostics émis et des limitations fonctionnelles en découlant. Dans ces conditions, aucun élément ne vient faire douter de la valeur probante de l’enquête. On rappellera que, dans le cadre de l'évaluation de l'invalidité dans la part consacrée à l'accomplissement des travaux habituels, il est de jurisprudence constante que si l'assuré n'accomplit plus que difficilement ou avec un investissement temporel beaucoup plus important certains travaux ménagers en raison de son handicap, il doit en premier lieu, au titre de son obligation de réduire le dommage, adopter une méthode de travail appropriée, répartir son travail en fonction de ses aptitudes et de ses disponibilités et demander, dans la mesure du raisonnable, l'aide de ses proches (ATF 133 V 504 consid. 4.2 p. 509 s. et les</w:t>
      </w:r>
    </w:p>
    <w:p>
      <w:r>
        <w:t>A/2669/2024 - 10/11 - références; arrêt [du Tribunal fédéral des assurances] I 761/81 du 15 septembre 1983 consid. 5, in RCC 1984 p. 143 s.).</w:t>
      </w:r>
    </w:p>
    <w:p>
      <w:r>
        <w:rPr>
          <w:b/>
        </w:rPr>
        <w:t>E. 6.3</w:t>
      </w:r>
    </w:p>
    <w:p>
      <w:r>
        <w:t>C’est d’ailleurs là, également un grief de la recourante, qui, pas plus que précédemment, ne motive les raisons pour lesquelles l’aide exigible de ses enfants aurait été surestimée. On rappellera que la recourante partage son logement avec ses trois enfants, âgés de 17, 23 et 24 ans, dont rien n’indique qu’ils seraient dans l’incapacité de participer aux tâches ménagères. Dans ces conditions, l’aide exigible retenue par l’intimé n’apparaît pas non plus critiquable.</w:t>
      </w:r>
    </w:p>
    <w:p>
      <w:r>
        <w:rPr>
          <w:b/>
        </w:rPr>
        <w:t>E. 7</w:t>
      </w:r>
    </w:p>
    <w:p>
      <w:r>
        <w:t>Au vu de ce qui précède, le recours est rejeté.</w:t>
      </w:r>
    </w:p>
    <w:p>
      <w:r>
        <w:t>***</w:t>
      </w:r>
    </w:p>
    <w:p>
      <w:r>
        <w:t>A/2669/2024 - 11/11 -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