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ATAS/514/2023 vom 27. Juni 2023</w:t>
      </w:r>
    </w:p>
    <w:p>
      <w:r>
        <w:t>GE Cour de justice, 2023-06-27, FR</w:t>
      </w:r>
    </w:p>
    <w:p>
      <w:r>
        <w:rPr>
          <w:b/>
        </w:rPr>
        <w:t xml:space="preserve">Quelle: </w:t>
      </w:r>
      <w:r>
        <w:t>https://mcp.opencaselaw.ch/entscheid/ge_gerichte_ATAS_514_2023</w:t>
      </w:r>
    </w:p>
    <w:p>
      <w:r>
        <w:t>FR: GE_GERICHTE ATAS/514/2023 du 27 juin 2023</w:t>
      </w:r>
    </w:p>
    <w:p>
      <w:r>
        <w:t>IT: GE_GERICHTE ATAS/514/2023 del 27 giugno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Aux termes de l’art. 73 al. 3 LPP, le for est au siège ou domicile suisse du défendeur ou au lieu de l’exploitation dans laquelle l’assuré a été engagé. La défenderesse ayant son siège dans le canton de Genève, la compétence de la chambre de céans pour juger du cas d’espèce est établie.</w:t>
      </w:r>
    </w:p>
    <w:p>
      <w:r>
        <w:rPr>
          <w:b/>
        </w:rPr>
        <w:t>E. 2</w:t>
      </w:r>
    </w:p>
    <w:p>
      <w:r>
        <w:t>La demande respecte en l'occurrence la forme prévue à l'art. 89B de la loi sur la procédure administrative du 12 septembre 1985 (LPA - E 5 10), de sorte qu'elle est recevable.</w:t>
      </w:r>
    </w:p>
    <w:p>
      <w:r>
        <w:rPr>
          <w:b/>
        </w:rPr>
        <w:t>E. 3</w:t>
      </w:r>
    </w:p>
    <w:p>
      <w:r>
        <w:t>Le litige porte sur le bien-fondé de la demande en paiement des cotisations ("primes") échues, des intérêts et des frais, déposée par la caisse de pensions auprès de la chambre de céans.</w:t>
      </w:r>
    </w:p>
    <w:p>
      <w:r>
        <w:rPr>
          <w:b/>
        </w:rPr>
        <w:t>E. 4.1</w:t>
      </w:r>
    </w:p>
    <w:p>
      <w:r>
        <w:t>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Aux termes de l'art. 11 al. 1 LPP, tout employeur occupant des salariés soumis à l’assurance obligatoire doit être affilié à une institution de prévoyance inscrite dans le registre de la prévoyance professionnelle.</w:t>
      </w:r>
    </w:p>
    <w:p>
      <w:r>
        <w:rPr>
          <w:b/>
        </w:rPr>
        <w:t>E. 4.2</w:t>
      </w:r>
    </w:p>
    <w:p>
      <w:r>
        <w:t>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citées).</w:t>
      </w:r>
    </w:p>
    <w:p>
      <w:r>
        <w:t>A/4108/2022 - 5/13 -</w:t>
      </w:r>
    </w:p>
    <w:p>
      <w:r>
        <w:rPr>
          <w:b/>
        </w:rPr>
        <w:t>E. 4.3</w:t>
      </w:r>
    </w:p>
    <w:p>
      <w:r>
        <w:t>À teneur de l’art. 66 al. 2 LPP, l’employeur est débiteur de la totalité des cotisations – fixées dans les dispositions réglementaires – envers l’institution de prévoyance. Celle-ci peut majorer d’un intérêt moratoire les cotisations payées tardivement.</w:t>
      </w:r>
    </w:p>
    <w:p>
      <w:r>
        <w:rPr>
          <w:b/>
        </w:rPr>
        <w:t>E. 4.3.1</w:t>
      </w:r>
    </w:p>
    <w:p>
      <w:r>
        <w:t>Le taux d'intérêts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d'intérêts plus élevé n'a pas été convenu par contrat (art. 104 al. 1 et 2 CO; ATF 130 V 414 consid. 5.1 ; ATF 127 V 377 consid. 5e/bb et les références). Des intérêts ne peuvent être portés en compte pour cause de retard dans le paiement des intérêts moratoires (art. 105 al. 3 CO ; RSAS 2003 p. 500 consid. 6.1).</w:t>
      </w:r>
    </w:p>
    <w:p>
      <w:r>
        <w:rPr>
          <w:b/>
        </w:rPr>
        <w:t>E. 4.3.2</w:t>
      </w:r>
    </w:p>
    <w:p>
      <w:r>
        <w:t>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ATF 135 V 113 consid. 3.6 ; ATAS/1187/2021 du 23 novembre 2021 consid. 4d; ATAS/721/2018 du 22 août 2018 consid. 7c/cc ; ATAS/292/2014 du 12 mars 2014 consid. 6).</w:t>
      </w:r>
    </w:p>
    <w:p>
      <w:r>
        <w:rPr>
          <w:b/>
        </w:rPr>
        <w:t>E. 4.3.3</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w:t>
      </w:r>
    </w:p>
    <w:p>
      <w:r>
        <w:t>A/4108/2022 - 6/13 -</w:t>
      </w:r>
    </w:p>
    <w:p>
      <w:r>
        <w:rPr>
          <w:b/>
        </w:rPr>
        <w:t>E. 4.3.4</w:t>
      </w:r>
    </w:p>
    <w:p>
      <w:r>
        <w:t>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Il doit toutefois y avoir entente des parties à cet égard; une simple comptabilisation en compte courant n'est pas suffisante (ATF 130 III 694 consid. 2.2.3 et les références citées ; ATAS/721/2018 précité consid. 7c/aa).</w:t>
      </w:r>
    </w:p>
    <w:p>
      <w:r>
        <w:rPr>
          <w:b/>
        </w:rPr>
        <w:t>E. 4.4.1</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2ème éd., 2020, n. 23 et 26 ad art. 41 LPP). Il faut, par</w:t>
      </w:r>
    </w:p>
    <w:p>
      <w:r>
        <w:t>A/4108/2022 - 7/13 - exemple, partir de l'exigibilité des cotisations définie dans le règlement ou le contrat d'affiliation (ATAS/474/2019 du 29 mai 2019 consid. 6a).</w:t>
      </w:r>
    </w:p>
    <w:p>
      <w:r>
        <w:rPr>
          <w:b/>
        </w:rPr>
        <w:t>E. 4.4.2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4.4.3</w:t>
      </w:r>
    </w:p>
    <w:p>
      <w:r>
        <w:t>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Il est précisé que les frais de poursuite sont d'office supportés par le débiteur lorsque la poursuite aboutit (ATAS/1055/2021 précisé consid. 16c ; JdT 1974 III 32). Il n'y a donc effectivement pas lieu de prononcer la mainlevée définitive pour</w:t>
      </w:r>
    </w:p>
    <w:p>
      <w:r>
        <w:t>A/4108/2022 - 8/13 - les frais du commandement de payer, dont le sort suit celui de la poursuite (art. 68 LP ; arrêt du Tribunal fédéral 5A_8/2008 du 11 avril 2008 consid. 4 ; ATAS/1055/2021 précisé consid. 16c).</w:t>
      </w:r>
    </w:p>
    <w:p>
      <w:r>
        <w:rPr>
          <w:b/>
        </w:rPr>
        <w:t>E. 4.4.4</w:t>
      </w:r>
    </w:p>
    <w:p>
      <w:r>
        <w:t>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rPr>
          <w:b/>
        </w:rPr>
        <w:t>E. 5.1</w:t>
      </w:r>
    </w:p>
    <w:p>
      <w:r>
        <w:t>En l'espèce, la demande du 1er décembre 2022 a été formée dans le délai de prescription de cinq ans. Le commandement de payer, poursuite n° 1______, a été notifié à la défenderesse le 12 janvier 2022, date dès laquelle le délai de péremption d’un an de l’art. 88 al. 2 LPP a commencé à courir. Par conséquent, celui-ci n’était pas atteint lorsque la demanderesse a saisi la chambre de céans, le 1er décembre 2022, ce délai ne courant par ailleurs pas durant la présente procédure judiciaire vu l'opposition de la société.</w:t>
      </w:r>
    </w:p>
    <w:p>
      <w:r>
        <w:rPr>
          <w:b/>
        </w:rPr>
        <w:t>E. 5.2</w:t>
      </w:r>
    </w:p>
    <w:p>
      <w:r>
        <w:t>En sa qualité d'employeuse occupant des salariés, la défenderesse devait être affiliée à une caisse de prévoyance professionnelle et verser les primes convenues avec la demanderesse.</w:t>
      </w:r>
    </w:p>
    <w:p>
      <w:r>
        <w:rPr>
          <w:b/>
        </w:rPr>
        <w:t>E. 5.3</w:t>
      </w:r>
    </w:p>
    <w:p>
      <w:r>
        <w:t>Aux termes du contrat d'affiliation, sous "attestation de l'employeur", il est notamment écrit que celui-ci certifie avoir pris connaissance, entre autres, des "conditions générales de la fondation", valables au 15 novembre 2018, du "règlement des coûts" – règlement concernant les frais –, valable au 3 juillet 2019, et du "règlement de prévoyance", valable au 18 octobre 2018, "qui font partie intégrante, dans leur version actuelle, du contrat d'affiliation", et en approuver l'intégralité de la teneur.</w:t>
      </w:r>
    </w:p>
    <w:p>
      <w:r>
        <w:rPr>
          <w:b/>
        </w:rPr>
        <w:t>E. 5.3.1</w:t>
      </w:r>
    </w:p>
    <w:p>
      <w:r>
        <w:t>Selon le ch. 2.3 des conditions générales de la fondation, l’employeur est débiteur envers la fondation de toutes les cotisations facturées par la fondation, notamment les cotisations pour les bonifications de vieillesse, les contributions aux coûts liés au risque et aux frais d’administration, les indemnités de conseil et de suivi, les intérêts débiteurs ainsi que, le cas échéant, les coûts supplémentaires générés par une liquidation partielle ou totale de l’œuvre de prévoyance ou de la fondation (let. a). La fondation facture à l’employeur les cotisations réglementaires ainsi que les frais supplémentaires. Les primes de risque et pour frais supplémentaires sont en principe échues dans les 30 jours à partir de la date de mutation, les bonifications d’épargne au 31 décembre de chaque année. La fondation peut prévoir d’autres échéances pour certains employeurs et certaines associations sectorielles (let. b). L’employeur s’engage à verser les cotisations – en particulier les cotisations retenues sur le salaire des employés – dans les délais prescrits sur le compte de cotisation et à régulariser ce compte avant le 31 décembre de chaque année, s’il présente un solde en faveur de la fondation (let. d). Indépendamment du moment de la facturation et sans rappel, un intérêt</w:t>
      </w:r>
    </w:p>
    <w:p>
      <w:r>
        <w:t>A/4108/2022 - 9/13 - moratoire de 6% par an est prélevé à partir de la date d’échéance sur les créances (primes, frais d’administration etc.) qui n’ont pas été payées à échéance. Les paiements effectués avant échéance bénéficient d’une bonification d’intérêts jusqu’à la date d’échéance (let. f). Tout solde en faveur de la fondation en fin d’année civile, y compris d’éventuels intérêts débiteurs accumulés, est reporté sur l’année civile suivante comme créance en capital. Tout solde en faveur de l’employeur, y compris d’éventuels intérêts débiteurs accumulés, est déduit comme acompte avec les cotisations de l’année suivante (let. h). La fondation établit un extrait du compte de cotisation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 d’exiger le paiement des cotisations dues, des intérêts et des frais par la voie légale et de résilier le contrat d’affiliation avec effet immédiat (let. i). Le solde de l’extrait de compte établi pour la fin de l’année civile est considéré comme accepté pour autant que l’employeur n’y fasse pas opposition par écrit dans les quatre semaines après réception de l’extrait (let. k). Toujours à teneur des conditions générales, ch. 4.1 let. c, la fondation a le droit de résilier le contrat sans respecter le délai de résiliation si, notamment, l’employeur ne donne pas suite au rappel selon le ch. 2.3 let. i.</w:t>
      </w:r>
    </w:p>
    <w:p>
      <w:r>
        <w:rPr>
          <w:b/>
        </w:rPr>
        <w:t>E. 5.3.2</w:t>
      </w:r>
    </w:p>
    <w:p>
      <w:r>
        <w:t>S'agissant des différents frais, le règlement concernant les frais prévoit, en son ch. 2.1, que la fondation prélève les cotisations pour frais d'administration, afin de financer ses frais administratifs, avec des coûts fixes par assuré de CHF 0.- à CHF 250.- et des coûts variables en 0 à 0,25% de l'avoir de vieillesse accumulé (pro rata temporis), au maximum CHF 600.- par an. Au ch. 2.3 (titre "autres frais d'administrations"), concernant la "procédure d'encaissement", le "1er rappel" se monte à CHF 50.-, le "2ème rappel" à CHF 100.-, la réquisition de poursuite à CHF 300.-, "la mainlevée d'opposition, demande incl." à CHF 1'250.-; en cas d'"annulation du contrat", les frais s'élèvent à CHF 50.- par personne assurée, mais au minimum CHF 300.- et au maximum CHF 20'000.-.</w:t>
      </w:r>
    </w:p>
    <w:p>
      <w:r>
        <w:rPr>
          <w:b/>
        </w:rPr>
        <w:t>E. 5.4</w:t>
      </w:r>
    </w:p>
    <w:p>
      <w:r>
        <w:t>Dans le cas présent, le montant principal de CHF 5'844.70 réclamé dans la demande du 1er décembre 2022 est celui qui figure, à la date du 13 décembre 2021 ("date" et "valeur"), dans l'extrait de compte du 1er avril 2020 au 31 décembre 2022 établi le 8 février 2022 par la demanderesse. Ce montant est constitué tout d'abord du "1er décompte de prime" pour la période du 1er avril au 31 décembre 2020 de CHF 5'998.65 au total résultant de l'addition des postes "épargne" par CHF 5'300.45, "risque" par CHF 525.70 et "frais d'administration" par CHF 172.50; s'y ajoutent ensuite les frais de sommation de CHF 50.- ("1er rappel") au 5 novembre 2020 et de CHF 100.- ("2ème rappel") à la valeur au 4 décembre 2020, les "frais de résiliation" – ou d'"annulation du contrat" – de CHF 300.- (le minimum) à la valeur au 31 décembre 2020, l'"intérêt débiteur</w:t>
      </w:r>
    </w:p>
    <w:p>
      <w:r>
        <w:t>A/4108/2022 - 10/13 - de CHF 247.60 à la valeur au 1er octobre 2021, les "frais de sommation / 1er rappel facture finale" de CHF 50.- à la valeur au 18 novembre 2021 et afférents au "rappel – décompte final au 31.12.2020" du même jour et, enfin, les "frais de sommation / poursuite" de CHF 300.- au 13 décembre 2021, date de la réquisition de poursuite; sont en outre déduits les réceptions des paiements par bulletin de versement de CHF 748.20 à la valeur au 24 décembre 2020 et de CHF 100.- au 31 décembre 2020 ainsi que le subside du Fonds de garantie de CHF 353.35 à la valeur au 30 juin 2021. Ces montants constituant celui – total – de CHF 5'844.70 apparaissent conformes à ce qui est dû selon la loi ainsi que le contrat d'affiliation et les conditions générales et règlements qui en font partie intégrante. Il sied de préciser que la prise en compte, y compris pour le calcul de l'intérêt moratoire, de l'intérêt débiteur de CHF 247.60 (à la valeur du 1er octobre 2021) est conforme au droit, mais seulement à partir du 1er janvier 2022, vu la novation acceptée par la société dans le cadre du contrat d'affiliation, puisqu'à teneur du ch. 2.3 let. h (in initio) des conditions générales, tout solde en faveur de la fondation en fin d’année civile, y compris d’éventuels intérêts débiteurs accumulés, est reporté sur l’année civile suivante comme créance en capital. De surcroît, la défenderesse n'a pas contesté ces montants, alors qu'il est précisé à la fin de cet extrait de compte que "sans opposition de [sa] part dans les 14 jours, ce décompte est considéré comme accepté" (cf. aussi le ch. 2.3 let. k des conditions générales de la fondation). Au demeurant, les uniques montants de cotisations – ou primes – réclamés pour la somme totale de CHF 5'998.65, à savoir "épargne" par CHF 5'300.45, "risque" par CHF 525.70 et "frais d'administration" par CHF 172.50, correspondent, ratione temporis pour la période du 1er avril au 31 décembre 2020, à la prime annuelle initialement prévue à CHF 7'998.15 au total ([CHF 7'998.15 / 4] x 3 = CHF 5'998.61).</w:t>
      </w:r>
    </w:p>
    <w:p>
      <w:r>
        <w:rPr>
          <w:b/>
        </w:rPr>
        <w:t>E. 5.5</w:t>
      </w:r>
    </w:p>
    <w:p>
      <w:r>
        <w:t>L'intérêt moratoire de 6% convenu (ch. 2.3 let. f des conditions générales de la fondation) est dû. Selon le ch. 2.3 let. f des conditions générales, indépendamment du moment de la facturation et sans rappel, un intérêt moratoire de 6% par an est prélevé à partir de la date d’échéance sur les créances (primes, frais d’administration etc.) qui n’ont pas été payées à échéance. Les paiements effectués avant échéance bénéficient d’une bonification d’intérêts jusqu’à la date d’échéance. Comme cela ressort du décompte final du 8 septembre 2021 et de l'extrait de compte établi le 8 février 2022, la date de départ dudit intérêt moratoire au 1er octobre 2021 se rapporte au montant dû à cette date de CHF 5'494.70. Le dies a quo de l'intérêt moratoire sera donc fixé ainsi : 6% l'an sur le montant de CHF 5'248.- (CHF 5'494.70 – l'intérêt débiteur de CHF 246.70) dès le</w:t>
      </w:r>
    </w:p>
    <w:p>
      <w:r>
        <w:t>A/4108/2022 - 11/13 - 1er octobre 2021 puis sur le montant de CHF 5'598.- (CHF 5'844.70 – CHF 246.70) à compter du 13 décembre 2021 et enfin sur le montant de CHF 5'844.70 à partir du 1er janvier 2022.</w:t>
      </w:r>
    </w:p>
    <w:p>
      <w:r>
        <w:rPr>
          <w:b/>
        </w:rPr>
        <w:t>E. 5.6</w:t>
      </w:r>
    </w:p>
    <w:p>
      <w:r>
        <w:t>Par ailleurs, le montant de CHF 1'250.-, prévu contractuellement entre les parties pour le cas d'une éventuelle procédure judiciaire, y compris de mainlevée d'opposition, est également dû, conformément au ch. 2.3 du règlement concernant les frais, avec intérêts à 6% l'an à partir du 1er décembre 2022, date du dépôt de la demande en paiement.</w:t>
      </w:r>
    </w:p>
    <w:p>
      <w:r>
        <w:rPr>
          <w:b/>
        </w:rPr>
        <w:t>E. 5.7</w:t>
      </w:r>
    </w:p>
    <w:p>
      <w:r>
        <w:t>En revanche, on ignore à quoi correspond précisément le montant de "frais de poursuite" de CHF 73.30 réclamé dans les conclusions de la demande, de sorte que la défenderesse ne sera pas condamnée à payer ce montant.</w:t>
      </w:r>
    </w:p>
    <w:p>
      <w:r>
        <w:rPr>
          <w:b/>
        </w:rPr>
        <w:t>E. 5.8</w:t>
      </w:r>
    </w:p>
    <w:p>
      <w:r>
        <w:t>Enfin, il y a lieu de prononcer la mainlevée définitive de l'opposition au commandement de payer notifié le 12 janvier 2022 à la défenderesse, poursuite n° 1______, pour le montant de CHF 5'844.70, plus intérêts à 6% l'an sur le montant de CHF 5'248.- dès le 1er octobre 2021 puis sur le montant de CHF 5'598.- à compter du 13 décembre 2021 et enfin sur le montant de CHF 5'844.70 à partir du 1er janvier 2022.</w:t>
      </w:r>
    </w:p>
    <w:p>
      <w:r>
        <w:rPr>
          <w:b/>
        </w:rPr>
        <w:t>E. 6.1</w:t>
      </w:r>
    </w:p>
    <w:p>
      <w:r>
        <w:t>La demanderesse a sollicité l'octroi de dépens.</w:t>
      </w:r>
    </w:p>
    <w:p>
      <w:r>
        <w:rPr>
          <w:b/>
        </w:rPr>
        <w:t>E. 6.2</w:t>
      </w:r>
    </w:p>
    <w:p>
      <w:r>
        <w:t>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w:t>
      </w:r>
    </w:p>
    <w:p>
      <w:r>
        <w:rPr>
          <w:b/>
        </w:rPr>
        <w:t>E. 6.3</w:t>
      </w:r>
    </w:p>
    <w:p>
      <w:r>
        <w:t>Dans le cas présent, la demanderesse, qui obtient presque entièrement gain de cause, est représentée par un avocat, et la défenderesse n'a jamais réagi à ses courriers et demandes, l'obligeant ainsi à entreprendre la présente procédure, violation de ses devoirs de collaboration qui constitue un comportement léger ou téméraire (dans ce sens, ATF 128 V 323 ; ATF 124 V 285). Une indemnité de dépens de CHF 1'500.- sera donc allouée à la fondation, à la charge de la défenderesse.</w:t>
      </w:r>
    </w:p>
    <w:p>
      <w:r>
        <w:t>A/4108/2022 - 12/13 -</w:t>
      </w:r>
    </w:p>
    <w:p>
      <w:r>
        <w:rPr>
          <w:b/>
        </w:rPr>
        <w:t>E. 7</w:t>
      </w:r>
    </w:p>
    <w:p>
      <w:r>
        <w:t>Pour le reste, la procédure est gratuite (art. 73 al. 2 LPP et 89H al. 1 LPA).</w:t>
      </w:r>
    </w:p>
    <w:p>
      <w:r>
        <w:t>***</w:t>
      </w:r>
    </w:p>
    <w:p>
      <w:r>
        <w:t>A/4108/2022 - 13/13 -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