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ATAS/514/2012 vom 17. April 2012</w:t>
      </w:r>
    </w:p>
    <w:p>
      <w:r>
        <w:t>GE Cour de justice, 2012-04-17, FR</w:t>
      </w:r>
    </w:p>
    <w:p>
      <w:r>
        <w:rPr>
          <w:b/>
        </w:rPr>
        <w:t xml:space="preserve">Quelle: </w:t>
      </w:r>
      <w:r>
        <w:t>https://mcp.opencaselaw.ch/entscheid/ge_gerichte_ATAS_514_2012</w:t>
      </w:r>
    </w:p>
    <w:p>
      <w:r>
        <w:t>FR: GE_GERICHTE ATAS/514/2012 du 17 avril 2012</w:t>
      </w:r>
    </w:p>
    <w:p>
      <w:r>
        <w:t>IT: GE_GERICHTE ATAS/514/2012 del 17 aprile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et des modifications de la LAI du 6 octobre 2006 (5ème révision de la LAI), entrées en vigueur le 1er janvier 2008.</w:t>
      </w:r>
    </w:p>
    <w:p>
      <w:r>
        <w:rPr>
          <w:b/>
        </w:rPr>
        <w:t>E. 3</w:t>
      </w:r>
    </w:p>
    <w:p>
      <w:r>
        <w:t>Interjeté dans les forme et délai prévus par la loi, le recours est recevable (art. 56 à 61 LPGA).</w:t>
      </w:r>
    </w:p>
    <w:p>
      <w:r>
        <w:rPr>
          <w:b/>
        </w:rPr>
        <w:t>E. 4</w:t>
      </w:r>
    </w:p>
    <w:p>
      <w:r>
        <w:t>Le litige porte sur la capacité de travail de l'assuré et l'aggravation de son invalidité.</w:t>
      </w:r>
    </w:p>
    <w:p>
      <w:r>
        <w:rPr>
          <w:b/>
        </w:rPr>
        <w:t>E. 5</w:t>
      </w:r>
    </w:p>
    <w:p>
      <w:r>
        <w:t>a)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w:t>
      </w:r>
    </w:p>
    <w:p>
      <w:r>
        <w:t>A/4265/2011 - 7/11 - une appréciation des preuves et une comparaison des revenus conformes au droit qui constitue le point de départ temporel pour l’examen d’une modification du degré d’invalidité lors d’une nouvelle révision de la rente (ATF 133 V 108 consid. 5,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 du 13 juillet 2006, I 406/05, consid. 4.1 et les références).</w:t>
      </w:r>
    </w:p>
    <w:p>
      <w:r>
        <w:rPr>
          <w:b/>
        </w:rPr>
        <w:t>E. 6</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w:t>
      </w:r>
    </w:p>
    <w:p>
      <w:r>
        <w:t>A/4265/2011 - 8/11 - médicale) divergent sensiblement, il incombe à l’administration ou au juge de confronter les deux évaluations et, au besoin, de requérir un complément d’instruction (arrêt I 35/03 du 24 octobre 2003 consid. 4.3 et les références, in Plädoyer 2004/3 page 64).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rPr>
          <w:b/>
        </w:rPr>
        <w:t>E. 7</w:t>
      </w:r>
    </w:p>
    <w:p>
      <w:r>
        <w:t>a) S'agissant de déterminer le revenu d'invalide, la jurisprudence considère que sous l’angle de l’obligation de diminuer le dommage,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w:t>
      </w:r>
    </w:p>
    <w:p>
      <w:r>
        <w:t>A/4265/2011 - 9/11 - ainsi que de la durée prévisible des rapports de travail (arrêts F. du 27 mai 2005, I 819/04, consid. 2.2, N. du 26 mai 2003, I 462/02, consid. 2.3; W. du 4 avril 2002, I 401/01, consid. 4c). b) Dans un arrêt 9C_104/2008 du 15 octobre 2008, le Tribunal fédéral estime que l'abattement de 20%, sur un maximum de 25, fixé par l'office AI, tient suffisamment compte des limitations fonctionnelles, nombreuses mais laissant subsister une capacité résiduelle de 50% dans un grand nombre d'activités, et de l'âge de l'intéressé, 59 ans au moment de la décision litigieuse, ce qui est encore éloigné de l'âge à partir duquel le Tribunal fédéral reconnaît généralement que ce facteur devient déterminant et nécessite une approche particulière (cf. notamment SVR 2003 IV n° 35 p. 107 [I 462/02]; arrêts 9C_849/2007 du 22 juillet 2008, 9C_612/2007 du 14 juillet 2008, I 1034/06 du 6 décembre 2007, I 61/05 du 27 juillet 2005, I 819/04 du 27 mai 2005, I 462/02 du 26 mai 2003 I 617/02 du mars 2003, I 461/01 du 4 avril 2002).</w:t>
      </w:r>
    </w:p>
    <w:p>
      <w:r>
        <w:rPr>
          <w:b/>
        </w:rPr>
        <w:t>E. 8</w:t>
      </w:r>
    </w:p>
    <w:p>
      <w:r>
        <w:t>Dans le cas d'espèce, lors de l'octroi initial de la rente d'invalidité en 2004, la capacité de travail dans une activité adaptée a été fixée à 50%, ce qui a déterminé un taux d'invalidité de 62% et ouvert le droit à un trois-quart de rente d'invalidité. Cette décision est entrée en force. Ensuite, l'OAI a rejeté la demande d'augmentation de rente faite par l'assuré par décision du 17 décembre 2007, l'aggravation de l'état de santé alors alléguée n'ayant pas été admise, après instruction médicale. Cette décision est aussi entrée en force. Lors de la demande de révision formée en 2009, l'amélioration de l'état de santé alléguée par les médecins traitants et par l'assuré, fondée sur la diminution des plaintes algiques du patient, les diagnostics étant inchangés, était une évaluation trop optimiste. Il n'y a donc pas eu d'amélioration durable de l'état de santé. Il s'avère toutefois qu'aucun médecin ne fait état d'une aggravation de l'état de santé de l'assuré postérieure à la décision du 17 décembre 2007, voire même après celle du 22 juin 2006. L'attestation du Dr A__________ est strictement identique à celle rédigée en mars 2007, ce qui confirme que l'état de santé est demeuré inchangé et pourrait laisser croire que, soit la décision initiale de 2006, soit la décision subséquente de 2007 étaient mal fondées en ne tenant pas compte de la réelle capacité de travail de l'assuré ou de l'aggravation alléguée. S'agissant de l'évaluation des EPI de 2011, rien n'indique qu'elle eut été différente en 2006 ou en 2007, eu égard à un état de santé inchangé, qui aurait vraisemblablement aussi conduit les EPI à nier toute intégration possible sur le marché du travail. Il n'est pas non plus démontré au degré de la vraisemblance prépondérante que le degré d'invalidité se serait notablement modifié de 2007 à 2011, par exemple en raison de l'âge de l'assuré, car il est âgé de 59 ans, ce qui reste dans les limites fixées par la jurisprudence du Tribunal fédéral comme étant compatible avec un retour en emploi. C'est donc à l'occasion de la décision de 2006 ou de 2007 que l'assuré aurait dû contester l'appréciation faite de son état de santé et de sa capacité résiduelle de travail. A défaut de modification notable de son taux d'invalidité depuis lors, l'OAI était en droit de refuser</w:t>
      </w:r>
    </w:p>
    <w:p>
      <w:r>
        <w:t>A/4265/2011 - 10/11 - d'augmenter le trois-quart de rente à une rente entière. La décision du 4 novembre 2011 est donc bien fondée. Cela étant dit, l'assuré a démontré sa bonne volonté pour reprendre une activité lucrative, mais il est confronté à l'inadéquation du marché du travail, de sorte qu'il lui est loisible de transmettre le rapport des EPI au SPC, afin de solliciter la suppression du gain potentiel. En effet, l'art. 14a OPC établit une présomption légale selon laquelle les assurés partiellement invalides sont en mesure d’obtenir le gain potentiel fixé par cette disposition, mais cette présomption peut être renversée par l’assuré s’il établit que des facteurs objectifs ou subjectifs, étrangers à l’AI, lui interdisent ou compliquent la réalisation du revenu en question. Ainsi, aucun revenu hypothétique n’est pris en compte chez le bénéficiaire de prestations complémentaires notamment si, malgré tous ses efforts, sa bonne volonté et les démarches entreprises, l’assuré ne trouve aucun emploi. Cette hypothèse peut être considérée comme réalisée lorsqu’il s’est adressé à un ORP et prouve que ses recherches d’emploi sont suffisantes qualitativement et quantitativement ou si l’assuré a atteint sa 60ème année (directives DPC).</w:t>
      </w:r>
    </w:p>
    <w:p>
      <w:r>
        <w:rPr>
          <w:b/>
        </w:rPr>
        <w:t>E. 9</w:t>
      </w:r>
    </w:p>
    <w:p>
      <w:r>
        <w:t>Ainsi, le recours, mal fondé, est rejeté.</w:t>
      </w:r>
    </w:p>
    <w:p>
      <w:r>
        <w:t>A/4265/2011 - 11/11 -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