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ATAS/513/2017 vom 19. Juni 2017</w:t>
      </w:r>
    </w:p>
    <w:p>
      <w:r>
        <w:t>GE Cour de justice, 2017-06-19, FR</w:t>
      </w:r>
    </w:p>
    <w:p>
      <w:r>
        <w:rPr>
          <w:b/>
        </w:rPr>
        <w:t xml:space="preserve">Quelle: </w:t>
      </w:r>
      <w:r>
        <w:t>https://mcp.opencaselaw.ch/entscheid/ge_gerichte_ATAS_513_2017</w:t>
      </w:r>
    </w:p>
    <w:p>
      <w:r>
        <w:t>FR: GE_GERICHTE ATAS/513/2017 du 19 juin 2017</w:t>
      </w:r>
    </w:p>
    <w:p>
      <w:r>
        <w:t>IT: GE_GERICHTE ATAS/513/2017 del 19 giugno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L’objet du litige porte sur le bien-fondé de la mainlevée de l’opposition à la poursuite n° 3______ , à hauteur de CHF 4'088.90 avec intérêts à 5 % dès le 24 juillet 2008 ainsi que CHF 40.-de frais de rappel et CHF 90.- de frais de traitement.</w:t>
      </w:r>
    </w:p>
    <w:p>
      <w:r>
        <w:rPr>
          <w:b/>
        </w:rPr>
        <w:t>E. 4</w:t>
      </w:r>
    </w:p>
    <w:p>
      <w:r>
        <w:t>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w:t>
      </w:r>
    </w:p>
    <w:p>
      <w:r>
        <w:t>A/928/2017 - 5/9 - l'assureur annonce à l'autorité cantonale compétente les débiteurs qui font l'objet de poursuites (al. 2). b.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w:t>
      </w:r>
    </w:p>
    <w:p>
      <w:r>
        <w:t>A/928/2017 - 6/9 - V 329 consid. 2b; RKUV 2004 Nr. KV 274 S. 129 E. 4.2.1, K 107/02; Arrêt 9C_903/2009 du 11 décembre 2009, consid. 2.1).</w:t>
      </w:r>
    </w:p>
    <w:p>
      <w:r>
        <w:rPr>
          <w:b/>
        </w:rPr>
        <w:t>E. 5</w:t>
      </w:r>
    </w:p>
    <w:p>
      <w:r>
        <w:t>a. En l’occurrence, il est admis que le recourant est affilié à AVANEX depuis le 1er juillet 2008 et que les primes sont dues dès cette date. Le recourant conteste toutefois la légitimité d’HELSANA à lui réclamer la prime d’assurance de juillet 2008 à décembre 2009, issue du contrat d’assurance émis par AVANEX. A cet égard, l’intimée a expliqué qu’AVANEX et HELSANA avaient fusionné au 1er janvier 2017 et communiqué l’extrait du registre du commerce du canton de Zürich mentionnant la radiation d’AVANEX ensuite de cette fusion ainsi qu’une notice explicative informant les assurés d’AVANEX qu’ils seraient repris par HELSANA. Le recourant ne fournit aucun élément permettant de douter de la légalité de cette fusion et de la reprise par HELSANA des contrats d’assurance d’AVANEX. Au surplus, il sera constaté que le cessionnaire d’une créance entre dans la poursuite au stade auquel le cédant l’a laissée (ATF 103 11 75 ; arrêt du Tribunal fédéral du 30 mai 2011 5A_247/2011). Or, en l’occurrence, la fusion a entrainé la dissolution de la société transférante et sa radiation du registre du commerce [art. 3 al. 2 de la loi fédérale du 3 octobre 2003 sur la fusion, la scission, la transformation et le transfert de patrimoine - RS 221.301 (LFus)] ; la fusion a déployé ses effets dès son inscription au registre du commerce, et à cette date, l'ensemble des actifs et passifs de la société transférante ont été transférés de par la loi à la société reprenante (art. 22 al. 1 LFus). Partant, HELSANA s’est bien vue transférer les contrats d’assurance d’AVANEX et était légitimée à continuer la procédure de poursuite débutée par AVANEX, de sorte que, par appréciation anticipée des preuves, la chambre de céans ne donnera pas suite à la requête du recourant du 18 mai 2017. b. S’agissant de la prime 2008-2009, le recourant se borne a réclamer tous les documents ayant servi à établir le tarif de ses primes. A cet égard, il sera rappelé qu’un assuré touché par une décision prise en application d'un tarif des primes de l'assurance obligatoire des soins dans une situation concrète peut exiger du juge qu'il en contrôle la légalité (ATF 131 V 66 consid. 4 p. 70).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135 V 39). Or, en l’espèce, le recourant n’a pas répondu à ces exigences de motivations.</w:t>
      </w:r>
    </w:p>
    <w:p>
      <w:r>
        <w:t>A/928/2017 - 7/9 -</w:t>
      </w:r>
    </w:p>
    <w:p>
      <w:r>
        <w:rPr>
          <w:b/>
        </w:rPr>
        <w:t>E. 6</w:t>
      </w:r>
    </w:p>
    <w:p>
      <w:r>
        <w:t>Oktober 2000, 2ème éd. 2009, nn. 18 et 34 ad art. 24 (ATAS/195/2013 du 21 février 2013)]. L’art. 24 al. 1 LPGA prévoit que le droit à des cotisations arriérées s’éteint cinq ans après la fin de l’année civile pour laquelle la cotisation devait être payée (ATF du 21 janvier 2005, K 99/04 consid. 2.1.2). En adoptant cette disposition, le législateur n’a fait aucune distinction entre cotisation annuelle et cotisation mensuelle, étant rappelé que les créances de cotisations portent en général sur une année civile (FF 1991 II 181 ss ad art. 31). Une caisse maladie est en droit de réclamer dans le délai de péremption de cinq ans le paiement des cotisations (ATAS/762/2005 du 7 septembre 2005). Le délai de péremption ne peut être ni interrompu, ni prolongé (ATF 126 II 145, 152). Il peut toutefois, en vertu d'un principe général du droit, être restitué si l'intéressé a été empêché sans sa faute par des circonstances insurmontables d'agir à temps (ATF 136 II 187, 193; 125 V 262, 265; 114 V 123, 124).</w:t>
      </w:r>
    </w:p>
    <w:p>
      <w:r>
        <w:rPr>
          <w:b/>
        </w:rPr>
        <w:t>E. 7</w:t>
      </w:r>
    </w:p>
    <w:p>
      <w:r>
        <w:t>En l’occurrence, l’intimée estime que son droit à percevoir les primes de juillet 2008 à décembre 2009 a été préservé par l’envoi de la facture du 13 décembre 2008. A cet égard, la chambre de céans constate que suite à cette facture du 13 février 2008, les poursuites n° 2______ au montant de CHF 1'621.20 plus les frais ainsi que n° 5______ au montant de CHF 2'604.-, ont été engagées par AVANEX puis retirées par celle-ci, à la suite de sa décision sur opposition du 28 octobre 2014, au motif que les créances n’était pas spécifiées correctement. En conséquence, l’intimée ne saurait se prévaloir de la facture du 13 décembre 2008 pour estimer qu’elle a valablement requis du recourant le paiement des primes de juillet 2008 à décembre 2009, ce d’autant que le montant réclamé ne portait que sur CHF 1'621.20.</w:t>
      </w:r>
    </w:p>
    <w:p>
      <w:r>
        <w:t>A/928/2017 - 8/9 - En réalité, seule la facture subséquente du 4 novembre 2014, au montant de CHF 4'225.20, laquelle mentionne les primes de juillet 2008 à décembre 2009 et correspond effectivement aux primes pour cette période (CHF 2'923.20 pour 2009, soit CHF 243.- x 12 et CHF 1'302 pour 2008, soit CHF 217.- x 6), entre en ligne de compte. Or, établie le 4 novembre 2014, elle ne peut porter que sur des cotisations arriérées rétroactives sur une période de cinq années. Il y a lieu de considérer que cette facture a été notifiée au recourant courant novembre 2011, de sorte que les primes 2009 ne sont pas périmées mais que tel est le cas des primes de juillet à décembre 2008.</w:t>
      </w:r>
    </w:p>
    <w:p>
      <w:r>
        <w:rPr>
          <w:b/>
        </w:rPr>
        <w:t>E. 8</w:t>
      </w:r>
    </w:p>
    <w:p>
      <w:r>
        <w:t>En conséquence, le recours sera partiellement admis et la mainlevée de l’opposition sera prononcée à hauteur de CHF 1'621.20 correspondant à la prime réclamée par l’intimée pour l’année 2009, selon la mention figurant dans la décision litigieuse ; en effet, bien que la prime pour l’année 2009 corresponde selon la facture du 4 novembre 2014 à CHF 2'923.20, la poursuite intentée par AVANEX porte sur CHF 4'088.90 de prime de juillet 2008 à décembre 2009, dont un montant limité à CHF 1'621.20 pour la prime 2009. Dans cette mesure, la mainlevée de l’opposition au commandement de payer poursuite n° 3______ ne peut être prononcée qu’à hauteur du montant de la prime 2009 de CHF 1'621.20, étant relevé que les frais de rappel de CHF 40.- et de traitement de CHF 90.- figurant dans la décision litigieuse ne sont pas établis, l’intimée n’ayant communiqué aucune pièce les attestant.</w:t>
      </w:r>
    </w:p>
    <w:p>
      <w:r>
        <w:rPr>
          <w:b/>
        </w:rPr>
        <w:t>E. 9</w:t>
      </w:r>
    </w:p>
    <w:p>
      <w:r>
        <w:t>Pour le surplus, la procédure est gratuite.</w:t>
      </w:r>
    </w:p>
    <w:p>
      <w:r>
        <w:t>A/928/2017 - 9/9 -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