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ATAS/513/2013 vom 22. Juni 2013</w:t>
      </w:r>
    </w:p>
    <w:p>
      <w:r>
        <w:t>GE Cour de justice, 2013-06-22, FR</w:t>
      </w:r>
    </w:p>
    <w:p>
      <w:r>
        <w:rPr>
          <w:b/>
        </w:rPr>
        <w:t xml:space="preserve">Quelle: </w:t>
      </w:r>
      <w:r>
        <w:t>https://mcp.opencaselaw.ch/entscheid/ge_gerichte_ATAS_513_2013</w:t>
      </w:r>
    </w:p>
    <w:p>
      <w:r>
        <w:t>FR: GE_GERICHTE ATAS/513/2013 du 22 juin 2013</w:t>
      </w:r>
    </w:p>
    <w:p>
      <w:r>
        <w:t>IT: GE_GERICHTE ATAS/513/2013 del 22 giugno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 recours, interjeté dans le délai légal et les formes prévues par la loi, est recevable (art. 61 let. g LPGA; art. 89B LPA).</w:t>
      </w:r>
    </w:p>
    <w:p>
      <w:r>
        <w:t>A/1276/2013 - 3/4 -</w:t>
      </w:r>
    </w:p>
    <w:p>
      <w:r>
        <w:rPr>
          <w:b/>
        </w:rPr>
        <w:t>E. 3</w:t>
      </w:r>
    </w:p>
    <w:p>
      <w:r>
        <w:t>L'objet du litige porte sur la recevabilité de l'opposition formée par la recourante.</w:t>
      </w:r>
    </w:p>
    <w:p>
      <w:r>
        <w:rPr>
          <w:b/>
        </w:rPr>
        <w:t>E. 4</w:t>
      </w:r>
    </w:p>
    <w:p>
      <w:r>
        <w:t>En l'espèce, l'intimé, à qui le fardeau de la preuve de la notification incombe, admet ne pas être en mesure d'apporter la preuve de la date de la notification de la décision querellée, datée du 12 mars 2012. Il affirme l'avoir postée par courrier prioritaire le 10 mai 2012. Cela étant, il convient d'admettre que l'opposition formée par la recourante l'a été en temps utile. Par conséquent, la décision sur opposition sera annulée et l'intimé invité à statuer sur le fond.</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