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ATAS/513/2012 vom 17. April 2012</w:t>
      </w:r>
    </w:p>
    <w:p>
      <w:r>
        <w:t>GE Cour de justice, 2012-04-17, FR</w:t>
      </w:r>
    </w:p>
    <w:p>
      <w:r>
        <w:rPr>
          <w:b/>
        </w:rPr>
        <w:t xml:space="preserve">Quelle: </w:t>
      </w:r>
      <w:r>
        <w:t>https://mcp.opencaselaw.ch/entscheid/ge_gerichte_ATAS_513_2012</w:t>
      </w:r>
    </w:p>
    <w:p>
      <w:r>
        <w:t>FR: GE_GERICHTE ATAS/513/2012 du 17 avril 2012</w:t>
      </w:r>
    </w:p>
    <w:p>
      <w:r>
        <w:t>IT: GE_GERICHTE ATAS/513/2012 del 17 aprile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le présent recours est recevable (art. 56 à 61 LPGA et 38 al. 4 let. b LPGA p.a.).</w:t>
      </w:r>
    </w:p>
    <w:p>
      <w:r>
        <w:rPr>
          <w:b/>
        </w:rPr>
        <w:t>E. 3</w:t>
      </w:r>
    </w:p>
    <w:p>
      <w:r>
        <w:t>Le litige porte sur le droit du recourant à une rente supérieure à 34%, et en particulier sur le lien de causalité entre l’accident et les lésions cervicales, sur la capacité de travail dans une activité adaptée et sur le revenu d’invalide. Il sera relevé que l’indemnité pour atteinte à l’intégrité de 40% n’est pas contestée par le recourant, de sorte que la décision du 13 janvier 2011 est entrée en force sur ce point-là.</w:t>
      </w:r>
    </w:p>
    <w:p>
      <w:r>
        <w:rPr>
          <w:b/>
        </w:rPr>
        <w:t>E. 4</w:t>
      </w:r>
    </w:p>
    <w:p>
      <w:r>
        <w:t>a) Selon l’art. 6 al. 1 LAA, les prestations d’assurance sont allouées en cas d’accident professionnel, d’accident non-professionnel et de maladie professionnelle.</w:t>
      </w:r>
    </w:p>
    <w:p>
      <w:r>
        <w:t>A/2784/2011 - 9/17 -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 bb et les références; FRESARD/MOSER-SZELESS, L'assurance-accidents obligatoire, in Schweizerisches Bundesverwaltungsrecht, 2ème édition, n. 89, p. 867).</w:t>
      </w:r>
    </w:p>
    <w:p>
      <w:r>
        <w:rPr>
          <w:b/>
        </w:rPr>
        <w:t>E. 5</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A/2784/2011 - 10/17 -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A/2784/2011 - 11/17 - de poids aux constatations faites par un spécialiste qu’à l’appréciation de l’incapacité de travail par le médecin de famille (ATF 125 V 351 consid. 3b/cc et les références ; RJJ 1995, p. 44 ; RCC 1988 p. 504 consid. 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6</w:t>
      </w:r>
    </w:p>
    <w:p>
      <w:r>
        <w:t>septembre 2011, que la cervicalgie du recourant est la conséquence de l’accident, il n’en explique pas les raisons. En revanche, il retient que la non fonctionnalité de la main et du membre inférieur gauches a pour conséquence qu’une douleur et une raideur se sont installées selon une chaine physiologique jusqu’au rachis cervical, avec une diminution globale des amplitudes. On comprend ainsi que le recourant présente tant une atteinte à la main gauche qu’au membre inférieur gauche, toutefois, on ne sait pas si les cervicalgies sont dues à l’accident ou au fait que le recourant souffre tant du membre supérieur qu’inférieur. Par ailleurs, le médecin traitant du recourant fait également référence, pour la première fois, à un accident survenu le 27 janvier 2009, dont on ne sait rien. Ces éléments ne permettent pas,</w:t>
      </w:r>
    </w:p>
    <w:p>
      <w:r>
        <w:t>A/2784/2011 - 13/17 - d’une part, de conclure à un lien de causalité probable entre l’accident et les cervicalgies du recourant et d’autre part, de douter du bien fondé des conclusions des médecins-conseils de la SUVA, étant rappelé qu’il y a lieu de tenir compte du fait que le médecin traitant est généralement enclin, en cas de doute, à prendre parti pour son patient en raison de la relation de confiance qui l’unit à ce dernier. Quant aux rapports du Dr A___________ et des médecins de la CRR, force est de constater qu’ils ne font pas état d’atteintes aux cervicales, de sorte qu’ils ne sont d’aucune aide pour établir un lien de causalité entre l’accident de juin 2007 et les cervicalgies dont souffre le recourant. Il sera qui plus est relevé qu’il semble peu probable qu’un accident, lors duquel le recourant s’est sectionné les tendons de la main gauche avec une scie circulaire, puisse être à l’origine d’une discopathie ou d’une hernie discale, étant précisé de surcroît qu’aucun rapport ne fait état de cervicalgies avant le début de l’année 2009, soit près d’une année et demie après l’accident. c) Au vu de ce qui précède, il doit être conclu, au degré de la vraisemblance prépondérante prévu par la jurisprudence, que les atteintes aux cervicales dont souffre le recourant ne sont pas en relation de causalité naturelle avec l’accident et ne sauraient ainsi lui donner droit à des prestations de l’assurance-accidents. Il n’est dès lors pas nécessaire de procéder à une instruction complémentaire telle que requise par le recourant, consistant à mettre en œuvre une expertise ou à entendre le Dr C___________. d) Enfin, en ce qui concerne la question de la capacité de travail du recourant, il sera précisé que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(arrêt I 762/02 du 6 mai 2003, consid. 2.2) pour emporter à elle seule la conviction dans une situation médicale controversée. En l’occurrence, les réadaptateurs des EPI ont pris en considération, dans le cadre de leurs conclusions, l’ensemble des atteintes du recourant, et non uniquement celles relatives au membre supérieur droit, de sorte qu’elles ne sauraient être déterminantes pour juger du cas d’espèce.</w:t>
      </w:r>
    </w:p>
    <w:p>
      <w:r>
        <w:t>A/2784/2011 - 14/17 - Ainsi, compte tenu de la valeur probante du rapport des médecins-conseils de la SUVA, des constatations du Dr D___________ et des atteintes au membre supérieur gauche du recourant dues à l’accident, il convient de conclure, au degré de la vraisemblance prépondérante, à la pleine capacité de travail du recourant dans une activité mono-manuelle, sans diminution de rendement.</w:t>
      </w:r>
    </w:p>
    <w:p>
      <w:r>
        <w:rPr>
          <w:b/>
        </w:rPr>
        <w:t>E. 7</w:t>
      </w:r>
    </w:p>
    <w:p>
      <w:r>
        <w:t>Reste à se déterminer sur le degré d’invalidité du recourant, et singulièrement sur le montant qui doit être retenu à titre de revenu d’invalide.</w:t>
      </w:r>
    </w:p>
    <w:p>
      <w:r>
        <w:rPr>
          <w:b/>
        </w:rPr>
        <w:t>E. 8</w:t>
      </w:r>
    </w:p>
    <w:p>
      <w:r>
        <w:t>a) Selon l'art. 18 al. 1 LAA, l'assuré invalide (art. 8 LPGA) à 10% au moins par suite d'un accident a droit à une rente d’invalidité. L’art. 18 al. 1 LAA, dans sa teneur en vigueur depuis le 1er janvier 2003, ne diffère de sa version antérieure que sur le plan rédactionnel (sur la notion d'invalidité, cf. ATF 130 V 343, 119 V 470 consid. 2b; SVR 2003 IV n° 35 p. 107; RAMA 2001 n° U 410 p. 73).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b)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w:t>
      </w:r>
    </w:p>
    <w:p>
      <w:r>
        <w:t>A/2784/2011 - 15/17 - Le revenu sans invalidité s'évalue, en règle générale, d'après le dernier salaire que l'assuré a obtenu avant l'atteinte à la santé, en tenant compte de l'évolution des circonstances à l'époque où est née le droit à la rente (cf. ATF 129 V 222 consid. 4). Le revenu de l'activité raisonnablement exigible ou revenu d’invalide doit être déterminé en se référant aux conditions d'un marché du travail équilibré et structuré offrant un éventail d'emplois diversifiés. Il s'agit donc d'une notion théorique. Lorsque l'assuré ne reprend pas d'activité lucrative, la comparaison peut se faire au moyen de tabelles statistiques (ATF 126 V 76 consid. 3a/bb et les références) ou de données salariales résultant de descriptions de postes de travail (DPT) (ATF 129 V 472). Si le revenu d’invalide est fondé sur les tabelles statistiques, et plus précisément sur l’Enquête suisse sur la structure des salaires, publiée par l’Office fédéral de la statistique (ci-après l’ESS),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ATFA non publié du 6 février 2002, U 241/00 consid. 2).</w:t>
      </w:r>
    </w:p>
    <w:p>
      <w:r>
        <w:rPr>
          <w:b/>
        </w:rPr>
        <w:t>E. 9</w:t>
      </w:r>
    </w:p>
    <w:p>
      <w:r>
        <w:t>En l’espèce, dans la mesure où la situation médicale du recourant était stabilisée depuis février 2009 en tous les cas et que le stage d’observation auprès des EPI s’est terminé durant le mois de janvier 2010, la SUVA a déterminé, à juste titre, que le droit à la rente débutait le 1er février 2010. Cela n’est d’ailleurs pas contesté par le recourant. Il convient ainsi de se placer en 2010 pour procéder à la comparaison des revenus. Le revenu sans invalidité n’est pas non plus contesté par le recourant. Attendu que la Caisse de compensation GGE - Gros œuvre et second œuvre a déclaré, en date des 27 mars 2009 et 9 juin 2010, que le revenu mensuel du recourant en 2010 aurait été de 5'830 fr. 30, y compris le 13ème salaire, le revenu sans invalidité 2010 est de 69'963 fr. 60 (5'830.30 x 12), tel que retenu par la SUVA. En ce qui concerne le revenu d’invalide, il a précédemment été déterminé que les atteintes au membre supérieur gauche ont pour conséquence que le recourant ne peut que travailler dans une activité mono-manuelle. Quoi qu'en dise le recourant, il convient d'admettre que le marché du travail offre un éventail suffisamment large d’activités légères, dont on doit convenir qu'un nombre significatif sont adaptées à la limitation du recourant et accessibles sans aucune formation particulière. On rappellera au demeurant qu'il n'y a pas lieu, dans ce contexte, d'examiner dans quelle mesure la situation concrète du marché du travail permettrait au recourant de</w:t>
      </w:r>
    </w:p>
    <w:p>
      <w:r>
        <w:t>A/2784/2011 - 16/17 - retrouver un emploi (cf. not. 9C_1066/2009 consid. 4.2). En outre, dans la mesure où le recourant n’a pas repris d’activité lucrative, la SUVA pouvait se fonder, conformément à la jurisprudence précitée, sur les salaires résultant des ESS. Le recourant ayant travaillé durant sa vie dans différentes activités lucratives non qualifiées sans avoir utilisé sa formation en mécanique, il y a lieu de se fonder, pour déterminer son revenu d’invalide, sur le revenu mensuel brut standardisé d’un homme exerçant une activité simple et répétitive (tableau TA1, niveau de qualification 4, ligne totale, homme, part au 13ème salaire comprise), lequel est de 4'901 fr. en 2010. Ce revenu hypothétique, calculé sur la base d’un horaire hebdomadaire de travail de 40 heures, doit encore être adapté à l’horaire de travail en 2010, lequel est de 41.6 heures (cf. tableau « durée normale du travail dans les entreprises selon la division économique » de l’Office fédéral de la statistique). On obtient ainsi un revenu annuel brut de 61'164 fr. 50 ((4'901 x 12) x 41.6 / 40). Il y a encore lieu de tenir compte de l’importante limitation fonctionnelle du recourant, attendu qu’il ne peut pas utiliser son bras gauche. Ainsi, en prenant en considération un abattement maximal de 25%, tel que retenu par la SUVA, le revenu d’invalide 2010 du recourant est de 45'873 fr. 40 (61'164.50 - (61'164.50 x 25%)). La comparaison des revenus aboutit à un degré d'invalidité de 34% ((69’963.60 - 45'873.40) x 100 / 69'963.60). En conséquence, la rente allouée par la SUVA, dès le 1er février 2010, sur la base d’un degré d’invalidité de 34%, doit être confirmée et le recours rejeté. Pour le surplus, la procédure est gratuite (art. 61 let. a LPGA).</w:t>
      </w:r>
    </w:p>
    <w:p>
      <w:r>
        <w:t>A/2784/2011 - 17/17 -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