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ATAS/512/2019 vom 11. Juni 2019</w:t>
      </w:r>
    </w:p>
    <w:p>
      <w:r>
        <w:t>GE Cour de justice, 2019-06-11, FR</w:t>
      </w:r>
    </w:p>
    <w:p>
      <w:r>
        <w:rPr>
          <w:b/>
        </w:rPr>
        <w:t xml:space="preserve">Quelle: </w:t>
      </w:r>
      <w:r>
        <w:t>https://mcp.opencaselaw.ch/entscheid/ge_gerichte_ATAS_512_2019</w:t>
      </w:r>
    </w:p>
    <w:p>
      <w:r>
        <w:t>FR: GE_GERICHTE ATAS/512/2019 du 11 juin 2019</w:t>
      </w:r>
    </w:p>
    <w:p>
      <w:r>
        <w:t>IT: GE_GERICHTE ATAS/512/2019 del 11 giugno 2019</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 ; art. 60 al. 1 let. a et b et 89A LPA).</w:t>
      </w:r>
    </w:p>
    <w:p>
      <w:r>
        <w:rPr>
          <w:b/>
        </w:rPr>
        <w:t>E. 2</w:t>
      </w:r>
    </w:p>
    <w:p>
      <w:r>
        <w:t>a. L’intimé a rendu deux décisions initiales, le 16 mai 2018, à savoir une décision de PC – qui, comme celles qu’elle révisait, lui niait le droit à des PCF et des PCC – et une décision de remboursement de SubAM. L’opposition que la recourante a formée le 6 juin 2018 était dirigée contre la décision lui demandant « le remboursement des prestations complémentaires », soit, plus précisément, des SubAM. C’est néanmoins à juste titre que l’intimé a considéré qu’elle l’était aussi à l’encontre de la première de ces deux décisions initiales, car les motifs avancés par la recourante mettaient en cause les plans de calcul joints à cette première décision et l’obligation de rembourser les SubAM faite par la seconde d’entre elles s’appuyait en réalité sur la première, soit sur un excédent de ressources devenu supérieur au montant de la prime moyenne cantonale en considération des faits nouveaux étant ressortis de la révision du dossier, excédent de ressources privant la recourante du droit au SubAM.</w:t>
      </w:r>
    </w:p>
    <w:p>
      <w:r>
        <w:t>A/4294/2018 - 6/8 - b. Quant à lui, le recours ne remet pas en question les plans de calcul joints à la décision de PC, mais uniquement l’obligation de rembourser les SubAM, de surcroît pour les seuls motifs que la recourante était de bonne foi et se trouverait exposée à une situation financière difficile si elle devait rembourser la somme réclamée. Or, comme l’intimé l’a laissé entendre dans sa décision sur opposition du 12 novembre 2018 (soit la décision attaquée, qui s’est substituée aux deux décisions initiales), c’est à un stade ultérieur de la procédure – celui de l’examen de la demande de remisse de l’obligation de restituer – que ces conditions doivent être examinées. c.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prestations complémentaires cantonales et à l’art. 33 LaLAMal pour les SubAM.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Sylvie PERRENOUD, in Commentaire romand de la loi sur la partie générale des assurances sociales, éd. par Anne-Sylvie DUPONT / Margit MOSER-SZELESS, 2018, n. 27 ss et 55 ss ad art. 25 ; Ueli KIESER, ATSG Kommentar, 3ème éd., 2015, n. 9 ad art. 25 LPGA, p. 383). C’est une fois qu’est entrée en force la décision portant sur la restitution elle-même des prestations perçues indûment que sont examinées les deux conditions de la bonne foi et de l’exposition à une situation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d. L’intimé n’a pas encore rendu de décision, ni a fortiori de décision sur opposition sur les seules questions restant litigieuses de savoir d’une part si la</w:t>
      </w:r>
    </w:p>
    <w:p>
      <w:r>
        <w:t>A/4294/2018 - 7/8 - recourante était de bonne foi au sens de l’art. 25 al. 1 phr. 2 LPGA lorsqu’elle percevait les SubAM notamment sans qu’une participation au paiement du loyer ne soit imputée à sa petite-fille C______ depuis octobre 2013 et – pour les deux mois d’octobre et novembre 2013 – aussi à son petit-fils D_____ (autrement dit sans que le loyer de la recourante ne soit divisé respectivement par deux ou – pour les deux mois précités – par trois au titre des dépenses reconnues), d’une part, et si l’obligation de restituer la somme réclamée la mettrait dans une situation financière difficile, d’autre part. Le recours s’avère donc irrecevable. La cause doit être retournée à l’intimé pour qu’il instruise les deux questions litigieuses précitées et statue à leur propos, étant précisé qu’un recours serait le moment venu recevable devant la chambre de céans contre la décision que l’intimé serait le cas échéant amené à rendre sur opposition.</w:t>
      </w:r>
    </w:p>
    <w:p>
      <w:r>
        <w:rPr>
          <w:b/>
        </w:rPr>
        <w:t>E. 3</w:t>
      </w:r>
    </w:p>
    <w:p>
      <w:r>
        <w:t>La procédure est gratuite (art. 61 let. a LPGA ; art. 89H al. 1 LPA). * * * * * *</w:t>
      </w:r>
    </w:p>
    <w:p>
      <w:r>
        <w:t>A/4294/2018 - 8/8 -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