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ATAS/511/2016 vom 28. Juni 2016</w:t>
      </w:r>
    </w:p>
    <w:p>
      <w:r>
        <w:t>GE Cour de justice, 2016-06-28, FR</w:t>
      </w:r>
    </w:p>
    <w:p>
      <w:r>
        <w:rPr>
          <w:b/>
        </w:rPr>
        <w:t xml:space="preserve">Quelle: </w:t>
      </w:r>
      <w:r>
        <w:t>https://mcp.opencaselaw.ch/entscheid/ge_gerichte_ATAS_511_2016</w:t>
      </w:r>
    </w:p>
    <w:p>
      <w:r>
        <w:t>FR: GE_GERICHTE ATAS/511/2016 du 28 juin 2016</w:t>
      </w:r>
    </w:p>
    <w:p>
      <w:r>
        <w:t>IT: GE_GERICHTE ATAS/511/2016 del 28 giugno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t>A/576/2016 4/5</w:t>
      </w:r>
    </w:p>
    <w:p>
      <w:r>
        <w:rPr>
          <w:b/>
        </w:rPr>
        <w:t>E. 4</w:t>
      </w:r>
    </w:p>
    <w:p>
      <w:r>
        <w:t>En l’espèce, le juge de première instance a ordonné le partage par moitié des prestations de sortie acquises par les demandeurs entre le 25 novembre 1983 et le 30 novembre 2015.</w:t>
      </w:r>
    </w:p>
    <w:p>
      <w:r>
        <w:rPr>
          <w:b/>
        </w:rPr>
        <w:t>E. 5</w:t>
      </w:r>
    </w:p>
    <w:p>
      <w:r>
        <w:t>Selon les documents produits, la prestation acquise pendant le mariage par le demandeur est de CHF 169'391.60, étant précisé que le demandeur a été soumis à l’obligation de cotiser en matière LPP que lorsqu’il a atteint l’âge de 25 ans, soit en juillet 1986. Celle acquise par la demanderesse est de CHF 34'474.75, les intérêts ayant déjà été calculés par les institutions de prévoyance défenderesses. Ainsi le demandeur doit à son ex-épouse le montant de CHF 84'695.80 (CHF 169'391.60 : 2) et celle-ci doit à celui-là le montant de CHF 17'237.40 (CHF 34'474.75 : 2), de sorte que c’est le demandeur qui doit à la demanderesse le montant de CHF 67'458.40 (CHF 84'695.80 – CHF 17'237.40).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A/576/2016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