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ATAS/510/2022 vom 31. Mai 2022</w:t>
      </w:r>
    </w:p>
    <w:p>
      <w:r>
        <w:t>GE Cour de justice, 2022-05-31, FR</w:t>
      </w:r>
    </w:p>
    <w:p>
      <w:r>
        <w:rPr>
          <w:b/>
        </w:rPr>
        <w:t xml:space="preserve">Quelle: </w:t>
      </w:r>
      <w:r>
        <w:t>https://mcp.opencaselaw.ch/entscheid/ge_gerichte_ATAS_510_2022</w:t>
      </w:r>
    </w:p>
    <w:p>
      <w:r>
        <w:t>FR: GE_GERICHTE ATAS/510/2022 du 31 mai 2022</w:t>
      </w:r>
    </w:p>
    <w:p>
      <w:r>
        <w:t>IT: GE_GERICHTE ATAS/510/2022 del 31 maggio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t>A/425/2020 - 8/13 - Interjeté dans la forme et le délai prévus par la loi, le recours est recevable (art. 56 LPGA ; art. 62 al. 1 de la loi sur la procédure administrative du 12 septembre 1985 [LPA - E 5 10]).</w:t>
      </w:r>
    </w:p>
    <w:p>
      <w:r>
        <w:rPr>
          <w:b/>
        </w:rPr>
        <w:t>E. 3</w:t>
      </w:r>
    </w:p>
    <w:p>
      <w:r>
        <w:t>Le litige porte sur le droit de la recourante à des prestations de l’assurance- accidents au-delà du 30 avril 2017.</w:t>
      </w:r>
    </w:p>
    <w:p>
      <w:r>
        <w:rPr>
          <w:b/>
        </w:rPr>
        <w:t>E. 4.1</w:t>
      </w:r>
    </w:p>
    <w:p>
      <w:r>
        <w:t>En vertu de l’art. 6 de la loi fédérale du 20 mars 1981 sur l’assurance- accidents (LAA ; RS 832.20), si la présente loi n’en dispose pas autrement, les prestations d’assurance sont allouées en cas d’accident professionnel, d’accident non professionnel et de maladie professionnelle. Selon l’art. 4 de la loi fédérale du</w:t>
      </w:r>
    </w:p>
    <w:p>
      <w:r>
        <w:rPr>
          <w:b/>
        </w:rPr>
        <w:t>E. 4.2</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À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w:t>
      </w:r>
    </w:p>
    <w:p>
      <w:r>
        <w:t>A/425/2020 - 9/13 - le droit à des prestations fondées sur l’accident assuré doit être nié (ATF 129 V 181 consid. 3.1 ; ATF 129 V 406 consid. 4.3.1 ; ATF 119 V 337 consid. 1 ; ATF 118 V 289 consid. 1b et les références). Si l’on peut admettre qu’un accident n’a fait que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 après l’accident, donc à cause de l’accident » (« post hoc ergo propter hoc », lequel ne permet pas d’établir l’existence d’un tel lien (arrêt TF 8C_6/2009 du 30 juillet 2009 consid. 3 ; ATF 119 V 335 consid. 2b/bb ; RAMA 1999 n° U 341 p. 408 s. consid. 3b).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 ATF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rPr>
          <w:b/>
        </w:rPr>
        <w:t>E. 4.3</w:t>
      </w:r>
    </w:p>
    <w:p>
      <w:r>
        <w:t>En présence d’avis médicaux contradictoires, le juge doit apprécier l’ensemble des preuves à disposition et indiquer les motifs pour lesquels il se</w:t>
      </w:r>
    </w:p>
    <w:p>
      <w:r>
        <w:t>A/425/2020 - 10/13 -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ATF 122 V 157 ; RAMA 1996 n°U 256 p. 217 et les références).</w:t>
      </w:r>
    </w:p>
    <w:p>
      <w:r>
        <w:rPr>
          <w:b/>
        </w:rPr>
        <w:t>E. 4.4</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Étant donné l’importance conférée aux rapports médicaux dans le droit des assurances sociales, il y a lieu toutefois de poser des exigences sévères en ce qui concerne l’impartialité de l’expert (ATF 122 V 157 consid. 1c et les références).</w:t>
      </w:r>
    </w:p>
    <w:p>
      <w:r>
        <w:rPr>
          <w:b/>
        </w:rPr>
        <w:t>E. 4.5</w:t>
      </w:r>
    </w:p>
    <w:p>
      <w:r>
        <w:t>Selon la jurisprudence, un rapport médical établi sur la base d’un dossier a valeur probante si ledit dossier contient suffisamment d’appréciations médicales, qui elles, se fondent sur un examen personnel de l’assuré (RAMA 2001 no U 438 p. 345 ; arrêt du Tribunal fédéral U 233/02 du 14 juin 2004 consid. 3.1).</w:t>
      </w:r>
    </w:p>
    <w:p>
      <w:r>
        <w:rPr>
          <w:b/>
        </w:rPr>
        <w:t>E. 4.6</w:t>
      </w:r>
    </w:p>
    <w:p>
      <w:r>
        <w:t>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5. Est litigieuse, en l’espèce, la question de savoir s’il existe une relation de causalité entre l’événement du 18 janvier 2017, voire l’événement du mois d’octobre 2016, et les lésions au genou droit dont souffre la recourante. La recourante s’est fondée sur l’avis de son médecin traitant, le Dr E______, alors que l’intimée s’est fondée principalement sur le rapport du Dr F______. La chambre de céans a jugé qu’il se justifiait de mettre en œuvre une expertise judiciaire orthopédique et traumatologique, qu’elle a confiée au professeur G______, spécialiste en traumatologie au CHUV, eu égard aux avis divergents exprimés par les Drs E______ et F______ sur les diagnostics et l’origine de l’atteinte à la santé. 5.1 Sur la forme, le rapport d’expertise du Dr G______ remplit toutes les exigences auxquelles la jurisprudence soumet la valeur probante d’un tel document. En effet, il comprend une analyse du dossier y compris des imageries effectuées, l’anamnèse, les indications subjectives de la recourante, les</w:t>
      </w:r>
    </w:p>
    <w:p>
      <w:r>
        <w:t>A/425/2020 - 11/13 - observations cliniques, ainsi que l’appréciation du cas. L’expert a exposé pour quelle raison il ne pouvait pas retenir le diagnostic de lésions dégénératives posé par le Dr F______ et sur quoi son analyse était fondée. Sur le fond, contrairement à l’avis exprimé par le Dr F______ au sujet de l’expertise du Dr G______, la conclusion de ce dernier, selon laquelle l’atteinte au genou droit résulte, de manière certaine, des chutes du mois d’octobre et décembre 2016 et ont été aggravé par une chute en janvier 2017, emporte la conviction de la chambre de céans pour les motifs suivants. L’expert fonde son expertise sur l’ensemble des avis médicaux au dossier et la lecture qu’il donne de l’imagerie. Il rejoint l’avis du Dr E______ sur le diagnostic et l’origine traumatique de la lésion. L’expert a pris en compte les différentes chutes décrites par l’assurée. Le fait de s’étonner, comme le fait le Dr F______, que cette dernière ait continué à travailler plutôt que d’être mise en arrêt à la suite d’une chute dans un escalier sur son lieu de travail en octobre 2016 et après avoir ressenti un lâchement en décembre 2016, ne saurait suffire à considérer que ces événements n’ont pas eu lieu ou qu’ils n’auraient pas causé de lésions. En effet, le 20 janvier 2017, l’employeur a fait une déclaration d’accident dans laquelle il indiquait qu’avant la chute du 18 janvier 2017 son employée avait déjà chuté à deux reprises, sans qu’elle ne se souvienne des dates de ces événements et sans qu’elle ne consulte de médecin. Quant à la gravité des lésions, force est de constater que c’est à la suite de ces événements et compte tenu des douleurs en ayant résulté que la recourante a consulté un médecin à la fin de l’année 2016 et a passé un IRM le 11 janvier 2017, soit avant l’événement du 18 janvier 2017. Le Dr F______ n’a ainsi pas pris en compte l’intégralité des éléments déterminants du dossier pour se prononcer. Il n’a en revanche pas contesté que le dernier évènement était accidentel et qu’il avait eu des répercussions sur la capacité de travail jusqu’en avril 2017. L’expert a dès lors une vision plus complète du dossier et son appréciation n’en n’est que plus convaincante. Si l’expert et le Dr F______, tous deux médecins disposant de connaissances médicales spécialisées dans la discipline médicale pertinente et qui se sont appuyés sur la littérature topique, ont une opinion divergente concernant le caractère dégénératif ou traumatique des lésions, il sied de constater que le Prof. G______ a expliqué de manière convaincante ses diagnostics sur la base en particulier des images de novembre 2021 tout en expliquant pour quelle raison les images sur lesquelles le Dr F______ s’était pour sa part fondé étaient de qualité médiocre et impropres à retenir les diagnostics de lésions dégénératives. En outre, l’évolution du genou après l’intervention d’avril 2019 permet de confirmer l’avis de l’expert et semble aller à l’encontre de celui du médecin mandaté par l’intimée à titre d’expert. Pour ces motifs, rien ne permet de douter de la valeur probante de l’expertise du Dr G______ malgré l’avis divergent du Dr F______.</w:t>
      </w:r>
    </w:p>
    <w:p>
      <w:r>
        <w:t>A/425/2020 - 12/13 - 5.2 La chambre de céans retiendra dès lors les diagnostics posés par l’expert qu’elle a mandaté et que le statu quo sine dans l’activité habituelle n’a été atteint selon l’expert que le 1er janvier 2020, de sorte que la recourante a droit à des indemnités journalières jusqu’à cette date, si tant est que les autres exigences d’assurances sont remplies (durée du droit aux prestations). En effet, il ne pouvait être attendu de l’assurée qu’elle change de profession entre le 1er août 2019, date à laquelle sa capacité de travail dans une activité adaptée a été retrouvée, et le 1er janvier 2020, date à laquelle elle pouvait reprendre son activité habituelle. Au vu de ce qui précède et de l’expertise réalisée, les auditions requises par la recourante sont, par appréciation anticipée des preuves (ATF 122 II 464 consid. 4a), inutiles. 5.3 La recourante obtenant gain de cause, une indemnité lui sera accordée à titre de participation à ses frais et dépens (art. 61 let. g LPGA; art. 6 du règlement sur les frais, émoluments et indemnités en matière administrative du 30 juillet 1986 [RFPA - E 5 10.03]), arrêtée en l’espèce à CHF 2'500.-. 5.4 Les frais de l’expertise judiciaire seront laissés à la charge de l’État. Pour le surplus, la procédure est gratuite (art. 61 let. a LPGA).</w:t>
      </w:r>
    </w:p>
    <w:p>
      <w:r>
        <w:t>A/425/2020 - 13/13 -</w:t>
      </w:r>
    </w:p>
    <w:p>
      <w:r>
        <w:t>PAR CES MOTIFS, LA CHAMBRE DES ASSURANCES SOCIALES : Statuant À la forme :</w:t>
      </w:r>
    </w:p>
    <w:p>
      <w:r>
        <w:rPr>
          <w:b/>
        </w:rPr>
        <w:t>E. 6</w:t>
      </w:r>
    </w:p>
    <w:p>
      <w:r>
        <w:t>octobre 2000 sur la partie générale du droit des assurances sociales (LPGA ;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