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ATAS/510/2012 vom 12. April 2012</w:t>
      </w:r>
    </w:p>
    <w:p>
      <w:r>
        <w:t>GE Cour de justice, 2012-04-12, FR</w:t>
      </w:r>
    </w:p>
    <w:p>
      <w:r>
        <w:rPr>
          <w:b/>
        </w:rPr>
        <w:t xml:space="preserve">Quelle: </w:t>
      </w:r>
      <w:r>
        <w:t>https://mcp.opencaselaw.ch/entscheid/ge_gerichte_ATAS_510_2012</w:t>
      </w:r>
    </w:p>
    <w:p>
      <w:r>
        <w:t>FR: GE_GERICHTE ATAS/510/2012 du 12 avril 2012</w:t>
      </w:r>
    </w:p>
    <w:p>
      <w:r>
        <w:t>IT: GE_GERICHTE ATAS/510/2012 del 12 aprile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loi fédérale sur la partie générale du droit des assurances sociales du 6 octobre 2000 (ci-après : LPGA), entrée en vigueur le 1er janvier 2003, est applicable en l’espèce.</w:t>
      </w:r>
    </w:p>
    <w:p>
      <w:r>
        <w:rPr>
          <w:b/>
        </w:rPr>
        <w:t>E. 3</w:t>
      </w:r>
    </w:p>
    <w:p>
      <w:r>
        <w:t>Adressé à la Chambre des assurances sociales de la Cour de Justice par pli postal du 28 février 2011, le recours contre la décision de l’OAI du 28 janvier 2011 intervient en temps utile (art. 60 al. 1 LPGA). L’acte de recours doit contenir un exposé succinct des faits et des motifs invoqués, ainsi que les conclusions (art. 61 lit. b LPGA). L’acte du 28 janvier 2011 satisfait à ces conditions, puisque l’on comprend que la recourante y conteste la décision de l’OAI et demande que son dossier soit réexaminé.</w:t>
      </w:r>
    </w:p>
    <w:p>
      <w:r>
        <w:t>A/598/2011 - 7/13 - Le recours est ainsi recevable.</w:t>
      </w:r>
    </w:p>
    <w:p>
      <w:r>
        <w:rPr>
          <w:b/>
        </w:rPr>
        <w:t>E. 4</w:t>
      </w:r>
    </w:p>
    <w:p>
      <w:r>
        <w:t>Le litige porte sur l’octroi de prestations de l’assurance invalidité, et plus particulièrement sur la détermination du taux d’invalidité de la recourante.</w:t>
      </w:r>
    </w:p>
    <w:p>
      <w:r>
        <w:rPr>
          <w:b/>
        </w:rPr>
        <w:t>E. 5</w:t>
      </w:r>
    </w:p>
    <w:p>
      <w:r>
        <w:t>Aux termes de l'art. 8 al. 1 et 3 LPGA, est réputée invalidité l’incapacité de gain totale ou partielle qui est présumée permanente ou de longue durée.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La jurisprudence a déterminé trois méthodes d’évaluation du degré de l’invalidité, dont l'application dépend du statut du bénéficiaire potentiel de la rente: assuré exerçant une activité lucrative à temps complet, assuré non actif, assuré exerçant une activité lucrative à temps partiel. Pour déterminer la méthode applicable au cas particulier, il faut à chaque fois se demander ce que l'assuré aurait fait si l'atteinte à la santé n'était pas survenue (ATF 137 V 334, consid. 3).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w:t>
      </w:r>
    </w:p>
    <w:p>
      <w:r>
        <w:t>A/598/2011 - 8/13 - avec l'art. 16 LPGA [RS 830.1]) et ses sous-variantes, la méthode de comparaison en pour-cent (ATF 114 V 310 consid. 3a p. 313 et les références) et la méthode extraordinaire de comparaison des revenus (ATF 128 V 29; voir également arrêt 9C_236/2009 du 7 octobre 2009 consid. 3 et 4, in SVR 2010 IV n° 11 p. 35).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RAI [RS 831.201]). Par travaux habituels, il faut notamment entendre l'activité usuelle dans le ménage, l'éducation des enfants ainsi que toute activité artistique ou d'utilité publique (cf. art. 27 RAI).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p. 53).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w:t>
      </w:r>
    </w:p>
    <w:p>
      <w:r>
        <w:t>A/598/2011 - 9/13 -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Selon l'art. 28 al. 1 LAI, l'assuré a droit à une rente entière s'il est invalide à 70 % au moins, à trois quarts de rente s'il est invalide à 60 % au moins, à une demi-rente s'il est invalide à 50 % au moins ou à un quart de rente s'il est invalide à 40 % au moins.</w:t>
      </w:r>
    </w:p>
    <w:p>
      <w:r>
        <w:rPr>
          <w:b/>
        </w:rPr>
        <w:t>E. 6</w:t>
      </w:r>
    </w:p>
    <w:p>
      <w:r>
        <w:t>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Bien que les rapports d'examen réalisés par le SMR en vertu de l'art. 49 al. 2 RAI ne soient pas des expertises au sens de l'art. 44 LPGA et ne soient pas soumis aux mêmes exigences formelles (ATF 135 V 254 consid. 3.4 p. 258), ils peuvent néanmoins revêtir la même valeur probatoire que des expertises, dans la mesure où ils satisfont aux exigences, définies par la jurisprudence, qui sont posées à une expertise médicale (arrêt 9C_204/2009 du 6 juillet 2009 consid. 3.3.2 et les références, passage non publié in ATF 135 V 254). Même en tenant compte de la jurisprudence récente de la Cour européenne des droits de l'homme, il n'existe en effet pas, dans la procédure d'octroi ou de refus de prestations d'assurances sociales, de droit formel à une expertise menée par un médecin externe à l'assurance (ATF 135 V 465 consid. 4.3 p. 468). Cela étant, il convient d'ordonner une expertise si des doutes, mêmes faibles, subsistent quant à la fiabilité et à la pertinence des</w:t>
      </w:r>
    </w:p>
    <w:p>
      <w:r>
        <w:t>A/598/2011 - 10/13 - constatations médicales effectuées par le service médical interne de l'assurance (ATF 135 V 465 consid. 4.6 p. 471). Une évaluation médicale complète ne saurait toutefois être remise en cause pour le seul motif qu'un ou plusieurs médecins ont une opinion divergente. Pour qu'il en aille différemment, il y a lieu de mettre en évidence des éléments objectivement vérifiables - de nature notamment clinique ou diagnostique - qui auraient été ignorés dans le cadre de l'évaluation et qui seraient suffisamment pertinents pour remettre en cause le bien-fondé du point de vue attaqué ou établir le caractère incomplet de celui-ci (arrêt 9C_578/2009 du 29 décembre 2009 consid. 3.2). Quant au médecin traitant, le juge peut et doit tenir compte du fait que selon l’expérience, le médecin traitant est généralement enclin, en cas de doute, à prendre parti pour son patient en raison de la relation de confiance qui l’unit à ce dernier (ATF 125 V 353, consid. 3b/cc et les références).</w:t>
      </w:r>
    </w:p>
    <w:p>
      <w:r>
        <w:rPr>
          <w:b/>
        </w:rPr>
        <w:t>E. 7</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no 10 p. 39 [arrêt Z. du 26 octobre 2004, I 457/04] consid. 4.1, 2001 IV no 10 p. 27 [arrêt S. du 8 février 2000, I 362/99]; Meyer-Blaser, Rechtsprechung des Bundesgerichts zum IVG, p. 228). Il sera toutefois précisé que les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w:t>
      </w:r>
    </w:p>
    <w:p>
      <w:r>
        <w:t>A/598/2011 - 11/13 -</w:t>
      </w:r>
    </w:p>
    <w:p>
      <w:r>
        <w:rPr>
          <w:b/>
        </w:rPr>
        <w:t>E. 8</w:t>
      </w:r>
    </w:p>
    <w:p>
      <w:r>
        <w:t>En l’espèce, il est suffisamment établi au plan médical que la capacité de travail de la recourante est nulle dans l’activité habituelle de nettoyage, mais entière dans une activité adaptée. En effet, cette appréciation du Dr O__________ du SMR revêt une pleine valeur probante au sens rappelé plus haut. Il explique de surcroît les motifs le conduisant à s’écarter de l’avis du Dr M__________. Par ailleurs, la Dresse N__________ indiquait déjà, dans son avis du 15 avril 2010, que la recourante pourrait en théorie exercer une activité plus légère respectant ses limitations fonctionnelles. Quant à l’avis de la Dresse L__________ du 27 octobre 2011, il se borne à expliquer que la capacité de travail est nulle, sans préciser quel est son avis au sujet de la capacité de travail dans une activité adaptée. A cela s’ajoute qu’elle fait état d’une aggravation récente, soit postérieure à la décision entreprise. Il convient encore de constater que suite à l’avis du Dr O__________, la recourante a été opérée de la tendinite de Quervain au niveau du poignet droit et se plaint désormais principalement de douleurs au bas du dos (sous réserve de douleurs au niveau des épaules et des jambes, « depuis peu », soit également postérieurement à la décision entreprise). Ainsi, il apparaît que les limitations retenues par le Dr O__________, mais également dans le cadre de l’enquête économique sur le ménage (faite alors que la recourante avait trois doigts immobilisés), avaient plutôt diminué au moment de la décision litigieuse, qui fixe l’objet du litige (ATF 121 V 362, consid. 1b).</w:t>
      </w:r>
    </w:p>
    <w:p>
      <w:r>
        <w:rPr>
          <w:b/>
        </w:rPr>
        <w:t>E. 9</w:t>
      </w:r>
    </w:p>
    <w:p>
      <w:r>
        <w:t>Ceci étant, la Chambre des assurances sociales constate que tant le Dr O__________ dans son rapport du 22 juin 2010, que notamment l’avis médical du SMR sur recours du 5 septembre 2011 font état d’une activité adaptée « à traduire en termes de métier par un spécialiste en réadaptation ». D’ailleurs, la Dresse N__________, dans son avis du 15 avril 2010, fait état d’une capacité de travail « théorique » dans une activité plus légère respectant les limitations fonctionnelles. Or, quand bien même il appartient à l’assureur de prendre d’office les mesures d’instruction nécessaires (art. 43 al. 1 LPGA), l’OAI n’a pas fait appel au spécialiste en réadaptation préconisé par son SMR. Entendue en audience sur ce point, la représentante de l’OAI a expliqué qu’il n’appartenait pas au médecin d’indiquer le type d’activité exigible, mais uniquement les limitations fonctionnelles, raison pour laquelle le médecin indique souvent qu’il convient de faire appel à un spécialiste en réadaptation.</w:t>
      </w:r>
    </w:p>
    <w:p>
      <w:r>
        <w:t>A/598/2011 - 12/13 - A vrai dire, une telle affirmation conforte la Chambre des assurances sociales à considérer que les services d’un tel spécialiste sont nécessaires. Dès lors que le médecin ne se prononce pas sur ce point, l’appréciation selon laquelle, au vu des limitations fonctionnelles qualifiées de « somme toute relativement légères » – ce dont on peut douter, la recourante ne pouvant garder une position statique plus de 30 minutes et une position assise plus d’une heure –, il existe suffisamment d’activités susceptibles d’entrer en considération, apparaît quelque peu hasardeuse. Quant à l’usage des statistiques ESS, ces dernières ne servent qu’à fixer le montant du gain que l’assuré pourrait obtenir sur un marché équilibré du travail, en mettant pleinement à profit sa capacité résiduelle de travail dans un emploi adapté à son handicap. Elles ne dispensent toutefois pas les organes de l’AI de procéder à un examen concret des activités à la portée de l’assuré (Michel VALTERIO, « Droit de l’assurance-vieillesse et survivants (AVS) et de l’assurance-invalidité (AI) », § 2122, p. 567 et les références citées). En conséquence, c’est en violation de l’art. 43 al. 1 LPGA que l’OAI a fait l’économie de l’avis du spécialiste en réadaptation, pourtant préconisé par le SMR. De la sorte, il convient de renvoyer le dossier à l’OAI, afin qu’il sollicite l’avis d’un spécialiste en réadaptation qui, en cas de nécessité mettra sur pied une observation professionnelle, étant rappelé qu’il appartiendra à ce spécialiste de travailler en étroite collaboration avec le médecin du SMR.</w:t>
      </w:r>
    </w:p>
    <w:p>
      <w:r>
        <w:rPr>
          <w:b/>
        </w:rPr>
        <w:t>E. 10</w:t>
      </w:r>
    </w:p>
    <w:p>
      <w:r>
        <w:t>Le recours sera ainsi partiellement admis et le dossier renvoyé à l’OAI pour instruction complémentaire au sens des considérants et nouvelle décision.</w:t>
      </w:r>
    </w:p>
    <w:p>
      <w:r>
        <w:rPr>
          <w:b/>
        </w:rPr>
        <w:t>E. 11</w:t>
      </w:r>
    </w:p>
    <w:p>
      <w:r>
        <w:t>Un émolument de 500 fr. est mis à charge de l’OAI, qui succombe (art. 69 al. 1bis LAI)</w:t>
      </w:r>
    </w:p>
    <w:p>
      <w:r>
        <w:t>A/598/2011 - 13/13 -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