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ATAS/50/2026 vom 21. Januar 2026</w:t>
      </w:r>
    </w:p>
    <w:p>
      <w:r>
        <w:t>GE Cour de justice, 2026-01-21, FR</w:t>
      </w:r>
    </w:p>
    <w:p>
      <w:r>
        <w:rPr>
          <w:b/>
        </w:rPr>
        <w:t xml:space="preserve">Quelle: </w:t>
      </w:r>
      <w:r>
        <w:t>https://mcp.opencaselaw.ch/entscheid/ge_gerichte_ATAS_50_2026</w:t>
      </w:r>
    </w:p>
    <w:p>
      <w:r>
        <w:t>FR: GE_GERICHTE ATAS/50/2026 du 21 janvier 2026</w:t>
      </w:r>
    </w:p>
    <w:p>
      <w:r>
        <w:t>IT: GE_GERICHTE ATAS/50/2026 del 21 gennaio 2026</w:t>
      </w:r>
    </w:p>
    <w:p>
      <w:pPr>
        <w:pStyle w:val="Heading2"/>
      </w:pPr>
      <w:r>
        <w:t>Erwägungen</w:t>
      </w:r>
    </w:p>
    <w:p>
      <w:r>
        <w:rPr>
          <w:b/>
        </w:rPr>
        <w:t>E. 1</w:t>
      </w:r>
    </w:p>
    <w:p>
      <w:r>
        <w:t>La recevabilité du recours a déjà été constatée.</w:t>
      </w:r>
    </w:p>
    <w:p>
      <w:r>
        <w:rPr>
          <w:b/>
        </w:rPr>
        <w:t>E. 2</w:t>
      </w:r>
    </w:p>
    <w:p>
      <w:r>
        <w:t>Le litige porte sur le droit de l’intimée de réclamer à la recourante le paiement de primes de l’assurance-accidents obligatoire pour l’activité exercée pour elle par l’appelé en cause de 2020 à 2022.</w:t>
      </w:r>
    </w:p>
    <w:p>
      <w:r>
        <w:rPr>
          <w:b/>
        </w:rPr>
        <w:t>E. 3.1</w:t>
      </w:r>
    </w:p>
    <w:p>
      <w:r>
        <w:t>Selon l’art. 1a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(LAVS-RS 831.10 ; art. 1 de l’ordonnance sur l’assurance-accidents du 20 décembre 1982, OLAA - RS 832.202).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w:t>
      </w:r>
    </w:p>
    <w:p>
      <w:r>
        <w:t>A/4202/2023 - 11/19 - salariée (cf. art. 5 et 9 LAVS, art. 6 ss du règlement sur l’assurance-vieillesse et survivants du 31 octobre 1947, RAVS - RS 831.101). 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Il n’existe toutefois aucune présomption juridique en faveur de l’activité salariée ou indépendante (Directives sur le salaire déterminant dans l’AVS, AI et APG [DSD] édictées par l’OFAS, ch. 1020). La notion de dépendance englobe les rapports créés par un contrat de travail, mais elle les déborde largement (cf.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(ATF 97 V 134 consid. 3 ; Jean-Philippe DUNAND, in Commentaire romand de la LPGA, n. 56 ad art. 10).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w:t>
      </w:r>
    </w:p>
    <w:p>
      <w:r>
        <w:t>A/4202/2023 - 12/19 - permettant de qualifier la rétribution compte tenu du lien de dépendance de celui qui la perçoit est le fait qu’il s’agit d’une collaboration régulière, autrement dit que l’employé est régulièrement tenu de fournir ses prestations au même employeur (arrêts du Tribunal fédéral 9C_1062/2010 du 5 juillet 2011 consid. 7.2 et H 334/03 du 10 janvier 2005 consid. 6.2.1). En outre, la possibilité pour le travailleur d’organiser son horaire de travail ne signifie pas nécessairement qu’il s’agit d’une activité indépendante (arrêt du Tribunal fédéral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119 V 161 consid. 3c ; 104 V 126 consid. 3b). En effet, la loi ne prévoit pas</w:t>
      </w:r>
    </w:p>
    <w:p>
      <w:r>
        <w:t>A/4202/2023 - 13/19 - d'évaluation globale en fonction de la signification économique des différentes activités. Ainsi, un assuré peut être qualifié simultanément de personne exerçant une activité salariée pour un travail et indépendante pour la même entreprise ou pour un autre travail (arrêt du Tribunal fédéral 9C_219/2009 du 21 août 2009 consid. 4.4). Le fait qu'une personne tenue à cotisations soit déjà affiliée à une caisse de compensation en tant qu'indépendante n'a aucune signification pour la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w:t>
      </w:r>
    </w:p>
    <w:p>
      <w:r>
        <w:rPr>
          <w:b/>
        </w:rPr>
        <w:t>E. 3.2</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Der Werkvertrag, 5e éd. 2011, n. 137 p. 53 ; Pierre TERCIER/ Pascal G. FAVRE, Les contrats spéciaux, 4e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Se référant à la doctrine, le Tribunal fédéral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w:t>
      </w:r>
    </w:p>
    <w:p>
      <w:r>
        <w:t>A/4202/2023 - 14/19 -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 8C_367/2011 du 12 avril 2012 consid. 2.4 ; 8C_597/2011 du 10 mai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3.4</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Selon l'art. 53 al. 2 LPGA, l’assureur peut revenir sur les décisions ou les décisions sur opposition formellement passées en force lorsqu’elles sont manifestement erronées et que leur rectification revêt une importance notable. La</w:t>
      </w:r>
    </w:p>
    <w:p>
      <w:r>
        <w:t>A/4202/2023 - 15/19 - reconsidération sert à corriger une application initialement erronée de la loi fondée sur l'appréciation des faits. L'inexactitude est manifeste lorsque dès le début, il n'y a aucun doute raisonnable de son inexactitude (ATF 138 V 324). Dans la mesure où le pouvoir d'appréciation se fonde sur la situation des faits et du droit, y compris la pratique juridique, il n'y a pas place pour une inexactitude incontestable manifeste (ATF 141 V 405).</w:t>
      </w:r>
    </w:p>
    <w:p>
      <w:r>
        <w:rPr>
          <w:b/>
        </w:rPr>
        <w:t>E. 3.5</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w:t>
      </w:r>
    </w:p>
    <w:p>
      <w:r>
        <w:rPr>
          <w:b/>
        </w:rPr>
        <w:t>E. 4.1</w:t>
      </w:r>
    </w:p>
    <w:p>
      <w:r>
        <w:t>En l’espèce, la recourante a fait valoir que la reconsidération de l'intimée sur le statut de l’appelé en cause était contradictoire et inattendue. Elle était intervenue après que l’intimée avait attesté du statut d’indépendant de l’ayant droit depuis le 1er novembre 2019, suite à un récent contrôle de la société, au cours duquel le statut de l'appelé en cause n’avait pas été remis en cause. L’intimée a fait valoir que la décision du 1er décembre 2022 précisait que le statut d’indépendant était octroyé dans le cadre de l’exécution de travaux adjugés en son propre nom et pour son propre compte, pour lesquels il assumait son propre risque économique et ne dépendait d’aucune organisation d’entreprise tierce. Cela n’était manifestement pas le cas lorsqu’il effectuait des prestations pour le compte de la société. En cas de doute, il incombait à cette dernière de se renseigner sur le statut du sous-traitant auprès de l’intimée ou de la caisse de compensation compétente avant l’attribution des premiers travaux. Il convenait en outre de souligner que la communication du 1er décembre 2022 avait été faite dans le cadre d’une procédure informelle et que, bien avant l’entrée en force, la personne concernée avait été informée que cette confirmation devait être précisée, par conversation téléphonique du 20 décembre 2022. De plus, même après son entrée en force, l’intimée pouvait revenir sur la décision initiale dans le cadre d’un réexamen, par le biais d’une reconsidération ou d’une révision (art. 53 LPGA). Par ailleurs, la communication du 1er décembre 2022 n’avait pas été transmise à la société. De ce fait, aucune protection de la confiance légitime ne pouvait être déduite. En outre,</w:t>
      </w:r>
    </w:p>
    <w:p>
      <w:r>
        <w:t>A/4202/2023 - 16/19 - la relation entre la société et l’intéressé datait du mois de novembre 2019 et l’attestation du 1er décembre 2022 n’avait ainsi pas influencé leur relation d’affaires.</w:t>
      </w:r>
    </w:p>
    <w:p>
      <w:r>
        <w:rPr>
          <w:b/>
        </w:rPr>
        <w:t>E. 4.2</w:t>
      </w:r>
    </w:p>
    <w:p>
      <w:r>
        <w:t>En l’espèce, la chambre de céans constate que la décision du 1er décembre 2022 précisait que le statut d’indépendant était octroyé dans le cadre de l’exécution de travaux adjugés en son propre nom et pour son propre compte, pour lesquels il assumait son propre risque économique et ne dépendait d’aucune organisation d’entreprise tierce. Elle devait donc être interprétée en fonction des circonstances. Par ailleurs, le 6 décembre 2022 déjà, donc rapidement après sa détermination du 1er décembre 2022, l'intimée a procédé à un nouvel examen du statut de l’appelé en cause. Elle était légitimée à réexaminer le statut de l’intéressé ayant eu connaissance de nouveaux éléments en application de l’art. 53 al. 2 LPGA. L’appelé en cause en a été informé sans délai, comme l’allègue l’intimée, puisque celui-ci lui a transmis de nouvelles pièces par courriel du 12 décembre 2022. Enfin la recourante n’était pas destinataire de la décision du 1er décembre 2022 et elle ne s’est pas fondée sur cette dernière pour collaborer avec l’appelé en cause, puisqu’elle le faisait déjà depuis 2020. En conséquence, elle ne peut se prévaloir du principe de la bonne foi, ni faire valoir que la nouvelle décision de l'intimée sur le statut de l’appelé en cause était contradictoire et inattendue</w:t>
      </w:r>
    </w:p>
    <w:p>
      <w:r>
        <w:rPr>
          <w:b/>
        </w:rPr>
        <w:t>E. 5.1</w:t>
      </w:r>
    </w:p>
    <w:p>
      <w:r>
        <w:t>La recourante a fait valoir qu’elle ne disposait ni des moyens ni du temps pour déterminer, chaque année, la situation de ses sous-traitants. On ne pouvait lui reprocher de ne pas avoir contacté l’intimée, celle-ci ayant elle-même jugé, à l’issue d’investigations poussées, que l'appelé en cause devait se voir reconnaître le statut d’indépendant. L’attestation d’indépendant démontrait la contradiction de l'intimée et sa difficulté à appréhender le statut de l'appelé en cause. À la lecture de l'attestation d’indépendant fournie par l'intimée, la recourante pouvait raisonnablement lui accorder un crédit particulier pour confirmer sa propre appréciation de la situation. Il était disproportionné, pour ne pas dire injustifié, d’attendre de la recourante qu’elle remette en cause les enquêtes conduites par des spécialistes en la matière.</w:t>
      </w:r>
    </w:p>
    <w:p>
      <w:r>
        <w:rPr>
          <w:b/>
        </w:rPr>
        <w:t>E. 5.2</w:t>
      </w:r>
    </w:p>
    <w:p>
      <w:r>
        <w:t>En l’occurrence, la question de savoir s’il était possible à la recourante de déterminer si son sous-traitant était indépendant ou non n’est pas déterminante. Du moment que l’analyse de sa situation économique conduisait à la conclusion que l'appelé en cause avait un statut de travailleur dépendant dans ses rapports avec la recourante, celle-ci était tenue de par la loi de payer les cotisations contre le risque accident, même à titre rétroactif. L’intimée doit appliquer la LAA sur cette question et n’a pas de marge de manœuvre. La recourante étant une société</w:t>
      </w:r>
    </w:p>
    <w:p>
      <w:r>
        <w:t>A/4202/2023 - 17/19 - d’une certaine ampleur, qui emploie des sous-traitants, elle devait être au courant de la problématique liée à leur statut, et en particulier, du fait que ceux-ci sont généralement réputés exercer une activité indépendante. Il faut relever à cet égard qu’elle a, par exemple, reçu en copie une décision de l’intimée du 1er novembre 2016, qui informait C______ du fait que pour son activité dans la menuiserie, il bénéficiait d’un double statut, à savoir un statut d’indépendant, pour les travaux adjugés en son propre nom et pour son propre compte, et un statut d’activité dépendante, si tel un salarié, il travaillait comme sous-traitant et louait ainsi ses services. La recourante a le devoir de s’assurer du statut des entreprises avec lesquelles elle travaille et elle ne peut se fier à de simples déclarations orales sur le statut de ses sous-traitants. Enfin, comme déjà relevé, elle n’a pas décidé de collaborer avec l’appelé en cause sur la base de l’attestation du statut d’indépendant du 1er décembre 2022.</w:t>
      </w:r>
    </w:p>
    <w:p>
      <w:r>
        <w:rPr>
          <w:b/>
        </w:rPr>
        <w:t>E. 6</w:t>
      </w:r>
    </w:p>
    <w:p>
      <w:r>
        <w:t>Il convient encore d’analyser les rapports entre la recourante et l’appelé en cause pour déterminer le statut de ce dernier. En tant que sous-traitant de la recourante, l'appelé en cause est présumé exercer une activité dépendante. Les caractéristiques de son activité confirment qu’il exerçait bien une telle activité pour la recourante, selon les critères jurisprudentiels, car il ne traitait manifestement pas sur pied d’égalité avec celle-ci. En effet, la recourante employait sept salariés et collaborait avec plusieurs indépendants et des agences d’intérim, alors que l’appelé en cause n’avait pas d’employé. Il travaillait pour le compte de la recourante, qui lui donnait donc des instructions sur les travaux à faire. Les nombreuses factures adressées à la recourante par l’appelé en cause attestent d’une collaboration régulière entre eux pendant les années 2020 à 2022, qui a procuré à l’appelé en cause des revenus à hauteur de CHF 46'350.- en 2020, CHF 114'555.- en 2021 et CHF 95'015.- en 2022. Il en résulte qu’en cas de cessation de cette collaboration, il se serait retrouvé dans une situation semblable à celle d’un salarié qui perd son emploi. Dans ces circonstances, le fait que l’appelé en cause avait la possibilité de refuser des mandats et d’organiser son horaire de travail, qu’il utilisait ses propres outils, machines et véhicules utilitaires, qu’il se procurait le matériel servant à l’exécution du travail, qu’il avait conclu des assurances en rapport avec son activité ainsi qu'une assurance-automobile pour les véhicules de l’entreprise et qu’il n’avait pas droit à un remboursement séparé de ses frais et débours, ne suffit pas à remettre en cause la présomption d’activité dépendante. L’intimée a retenu dans sa décision que l’appelé en cause n’avait que peu investi dans son activité pour l’année 2021, soit CHF 3'653.20 pour l’achat de matériel et CHF 129.75 pour l’achat de vêtements professionnels. Par conséquent, il ne pouvait selon elle en être déduit qu’il avait procédé à des investissements considérables tels que reconnus par la jurisprudence.</w:t>
      </w:r>
    </w:p>
    <w:p>
      <w:r>
        <w:t>A/4202/2023 - 18/19 - Même si le montant investi par l’appelé en cause pour l’achat de matériel entre 2020 et 2021 s’élevait à CHF 9'691.-, comme l’a allégué la recourante, ce qui représente 6% de la rémunération qu’elle lui a versé pendant la même période, ce montant n’apparaît pas suffisant pour retenir un statut d’indépendant. Il faut tenir compte en effet du fait que le risque économique incombait essentiellement à la recourante, qui répondait à l'égard du maître principal de l'exécution des travaux effectués par l’appelé en cause. Même si le nombre de factures adressées par l’appelé en cause à la recourante a varié pendant la période en cause (9 en 2020, 34 en 2021 et 34 en 2022), elles démontrent une activité suffisamment importante pour chaque année justifiant de retenir un statut de dépendant de l’appelé en cause pour son activité pour la recourante durant ces trois ans. En conclusion, la décision sur opposition est bien fondée en tant qu’elle retient que l’activité de l’appelé en cause pour la recourante ne remplit pas les critères pour être qualifiée d’activité indépendante pour les années 2020 à 2022.</w:t>
      </w:r>
    </w:p>
    <w:p>
      <w:r>
        <w:rPr>
          <w:b/>
        </w:rPr>
        <w:t>E. 7</w:t>
      </w:r>
    </w:p>
    <w:p>
      <w:r>
        <w:t>Les faits de la cause étant suffisamment établis par les pièces du dossier, il ne sera pas donné suite à la demande d’audition de la recourante.</w:t>
      </w:r>
    </w:p>
    <w:p>
      <w:r>
        <w:rPr>
          <w:b/>
        </w:rPr>
        <w:t>E. 8</w:t>
      </w:r>
    </w:p>
    <w:p>
      <w:r>
        <w:t>Infondé, le recours sera rejeté. La procédure est gratuite.</w:t>
      </w:r>
    </w:p>
    <w:p>
      <w:r>
        <w:t>A/4202/2023 - 19/19 -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