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ATAS/50/2021 vom 25. Januar 2021</w:t>
      </w:r>
    </w:p>
    <w:p>
      <w:r>
        <w:t>GE Cour de justice, 2021-01-25, FR</w:t>
      </w:r>
    </w:p>
    <w:p>
      <w:r>
        <w:rPr>
          <w:b/>
        </w:rPr>
        <w:t xml:space="preserve">Quelle: </w:t>
      </w:r>
      <w:r>
        <w:t>https://mcp.opencaselaw.ch/entscheid/ge_gerichte_ATAS_50_2021</w:t>
      </w:r>
    </w:p>
    <w:p>
      <w:r>
        <w:t>FR: GE_GERICHTE ATAS/50/2021 du 25 janvier 2021</w:t>
      </w:r>
    </w:p>
    <w:p>
      <w:r>
        <w:t>IT: GE_GERICHTE ATAS/50/2021 del 25 gennaio 2021</w:t>
      </w:r>
    </w:p>
    <w:p>
      <w:pPr>
        <w:pStyle w:val="Heading2"/>
      </w:pPr>
      <w:r>
        <w:t>Erwägungen</w:t>
      </w:r>
    </w:p>
    <w:p>
      <w:r>
        <w:rPr>
          <w:b/>
        </w:rPr>
        <w:t>E. 21</w:t>
      </w:r>
    </w:p>
    <w:p>
      <w:r>
        <w:t>Le 2 juillet et 7 août 2019, l’assurée a requis des nouvelles de son dossier.</w:t>
      </w:r>
    </w:p>
    <w:p>
      <w:r>
        <w:rPr>
          <w:b/>
        </w:rPr>
        <w:t>E. 22</w:t>
      </w:r>
    </w:p>
    <w:p>
      <w:r>
        <w:t>Le 8 juillet 2019, l’assurée, représentée par son avocat, a recouru à l’encontre de cette décision auprès de la chambre des assurances sociales de la Cour de justice, laquelle, par arrêt du 27 avril 2020, a admis le recours et alloué à l’assurée une rente entière d’invalidité au-delà du 30 novembre 2017 (ATAS/305/2020).</w:t>
      </w:r>
    </w:p>
    <w:p>
      <w:r>
        <w:rPr>
          <w:b/>
        </w:rPr>
        <w:t>E. 23</w:t>
      </w:r>
    </w:p>
    <w:p>
      <w:r>
        <w:t>Le 9 août 2019, l’assurance a requis des renseignements complémentaires auprès des HUG et de la Bâloise assurance.</w:t>
      </w:r>
    </w:p>
    <w:p>
      <w:r>
        <w:rPr>
          <w:b/>
        </w:rPr>
        <w:t>E. 24</w:t>
      </w:r>
    </w:p>
    <w:p>
      <w:r>
        <w:t>Dès le 12 novembre 2019, l’assurance a établi un décompte d’indemnité LAA (acompte de rente) mensuel, depuis septembre 2019.</w:t>
      </w:r>
    </w:p>
    <w:p>
      <w:r>
        <w:rPr>
          <w:b/>
        </w:rPr>
        <w:t>E. 25</w:t>
      </w:r>
    </w:p>
    <w:p>
      <w:r>
        <w:t>Le 12 novembre 2019, l’assurée a requis des nouvelles de son dossier.</w:t>
      </w:r>
    </w:p>
    <w:p>
      <w:r>
        <w:rPr>
          <w:b/>
        </w:rPr>
        <w:t>E. 26</w:t>
      </w:r>
    </w:p>
    <w:p>
      <w:r>
        <w:t>Le 2 décembre 2019, l’assurance a demandé au docteur H______, FMH neurochirurgie, s’il était disposé à rendre une expertise concernant le taux de l’IPAI et la répartition de la causalité entre les deux accidents et a requis des renseignements médicaux auprès des médecins traitants de l’assurée.</w:t>
      </w:r>
    </w:p>
    <w:p>
      <w:r>
        <w:rPr>
          <w:b/>
        </w:rPr>
        <w:t>E. 27</w:t>
      </w:r>
    </w:p>
    <w:p>
      <w:r>
        <w:t>Le 17 décembre 2019, l’assurée a requis des nouvelles de son dossier.</w:t>
      </w:r>
    </w:p>
    <w:p>
      <w:r>
        <w:rPr>
          <w:b/>
        </w:rPr>
        <w:t>E. 28</w:t>
      </w:r>
    </w:p>
    <w:p>
      <w:r>
        <w:t>Le 18 décembre 2019, le Dr H______ a indiqué qu’il était disponible pour établir une expertise mais seulement à la fin de la saison de ski.</w:t>
      </w:r>
    </w:p>
    <w:p>
      <w:r>
        <w:rPr>
          <w:b/>
        </w:rPr>
        <w:t>E. 29</w:t>
      </w:r>
    </w:p>
    <w:p>
      <w:r>
        <w:t>A la demande de la chambre de céans, la Dresse G______ a donné les 23 décembre 2019 et 20 janvier 2020 des renseignements complémentaires. L’assurée pouvait travailler à un taux de 50 %, avec une diminution de rendement. Le taux était exigible dès le 1er janvier 2020. Antérieurement, elle était capable de travailler à 25 % dès le 1er janvier 2018 ; elle était entièrement d’accord avec le rapport du docteur I______, FMH anesthésiologie, du 14 juillet 2017. La diminution de rendement était de 50 % de manière générale mais tout dépendait de la charge et du type de travail à effectuer.</w:t>
      </w:r>
    </w:p>
    <w:p>
      <w:r>
        <w:rPr>
          <w:b/>
        </w:rPr>
        <w:t>E. 30</w:t>
      </w:r>
    </w:p>
    <w:p>
      <w:r>
        <w:t>Le 13 janvier 2020, l’assurance a écrit au Dr H______ qu’elle acceptait le délai qu’il avait mentionné.</w:t>
      </w:r>
    </w:p>
    <w:p>
      <w:r>
        <w:rPr>
          <w:b/>
        </w:rPr>
        <w:t>E. 31</w:t>
      </w:r>
    </w:p>
    <w:p>
      <w:r>
        <w:t>Le 27 avril 2020, l’assurée a requis des nouvelles de son dossier.</w:t>
      </w:r>
    </w:p>
    <w:p>
      <w:r>
        <w:t>A/3076/2020 - 5/11 -</w:t>
      </w:r>
    </w:p>
    <w:p>
      <w:r>
        <w:rPr>
          <w:b/>
        </w:rPr>
        <w:t>E. 32</w:t>
      </w:r>
    </w:p>
    <w:p>
      <w:r>
        <w:t>Le 7 mai 2020, l’assurance a mandaté le Dr H______ pour rendre un second avis sur pièces, lequel a indiqué qu’il était indisponible jusqu’aux vacances d’été ; l’assurance l’a informé qu’elle lui soumettrait une nouvelle demande en juillet 2020.</w:t>
      </w:r>
    </w:p>
    <w:p>
      <w:r>
        <w:rPr>
          <w:b/>
        </w:rPr>
        <w:t>E. 33</w:t>
      </w:r>
    </w:p>
    <w:p>
      <w:r>
        <w:t>Le 3 juillet 2020, l’assurée a communiqué à l’assurance une copie de l’ATAS/305/2020 et a mis en demeure celle-ci de statuer sur ses droits.</w:t>
      </w:r>
    </w:p>
    <w:p>
      <w:r>
        <w:rPr>
          <w:b/>
        </w:rPr>
        <w:t>E. 34</w:t>
      </w:r>
    </w:p>
    <w:p>
      <w:r>
        <w:t>Le 7 juillet 2020, l’assurance a derechef requis du Dr H______ qu’il indique s’il était prêt à donner un second avis sur pièces.</w:t>
      </w:r>
    </w:p>
    <w:p>
      <w:r>
        <w:rPr>
          <w:b/>
        </w:rPr>
        <w:t>E. 35</w:t>
      </w:r>
    </w:p>
    <w:p>
      <w:r>
        <w:t>Le 8 juillet 2020, le Dr H______ a indiqué qu’il était dans l’impossibilité d’accepter le mandat, en raison d’une surcharge de travail et qu’il ne pourrait donner une réponse avant d’avoir pu ressentir une accalmie en début d’automne.</w:t>
      </w:r>
    </w:p>
    <w:p>
      <w:r>
        <w:rPr>
          <w:b/>
        </w:rPr>
        <w:t>E. 36</w:t>
      </w:r>
    </w:p>
    <w:p>
      <w:r>
        <w:t>Le 9 juillet 2020, l’assurance a demandé au docteur J______, FMH neurochirurgie, s’il pouvait réaliser une évaluation sur pièces, lequel a refusé le 11 juillet 2020.</w:t>
      </w:r>
    </w:p>
    <w:p>
      <w:r>
        <w:rPr>
          <w:b/>
        </w:rPr>
        <w:t>E. 37</w:t>
      </w:r>
    </w:p>
    <w:p>
      <w:r>
        <w:t>Le 14 juillet 2020, le docteur K______, FMH neurochirurgie, a également refusé.</w:t>
      </w:r>
    </w:p>
    <w:p>
      <w:r>
        <w:rPr>
          <w:b/>
        </w:rPr>
        <w:t>E. 38</w:t>
      </w:r>
    </w:p>
    <w:p>
      <w:r>
        <w:t>Le 30 juillet 2020, le docteur L______, FMH neurochirurgie, a accepté le mandat et le 3 août 2020, l’assurance lui a communiqué les documents médicaux pertinents.</w:t>
      </w:r>
    </w:p>
    <w:p>
      <w:r>
        <w:rPr>
          <w:b/>
        </w:rPr>
        <w:t>E. 39</w:t>
      </w:r>
    </w:p>
    <w:p>
      <w:r>
        <w:t>Le 31 août 2020, l’assurance a requis des documents radiologiques auprès de plusieurs médecins. Des rappels ont été envoyés les 2 et 29 septembre 2020.</w:t>
      </w:r>
    </w:p>
    <w:p>
      <w:r>
        <w:rPr>
          <w:b/>
        </w:rPr>
        <w:t>E. 40</w:t>
      </w:r>
    </w:p>
    <w:p>
      <w:r>
        <w:t>Le 1er octobre 2020, l’assurée, représentée par son avocat, a déposé auprès de la chambre de céans un recours pour déni de justice à l’encontre de l’assurance. Après l’opposition formée à l’encontre de la décision du 13 octobre 2016, l’assurance avait requis une expertise dont le rapport avait été rendu en octobre 2017. D’innombrables relances avaient été nécessaires pour obtenir une décision sur opposition, qui renvoyait le dossier pour instruction, le 19 février 2019. Depuis cette date, malgré de multiples relances, l’assurance ne faisait aucun effort pour faire avancer sérieusement le dossier 18 mois après la décision sur opposition ; elle souhaitait en réalité obtenir un troisième avis afin de remettre en cause l’expertise de 2017. Or, le dossier était instruit de façon complète depuis octobre 2017, de sorte que l’inertie de l’assurance constituait un déni de justice ; celle-ci devait être condamnée à rendre une décision dans les trente jours suivant la notification de l’arrêt.</w:t>
      </w:r>
    </w:p>
    <w:p>
      <w:r>
        <w:rPr>
          <w:b/>
        </w:rPr>
        <w:t>E. 41</w:t>
      </w:r>
    </w:p>
    <w:p>
      <w:r>
        <w:t>Le 23 octobre 2020, l’assurance a informé l’assurée qu’elle lui versait CHF 23'030.- au titre d’acompte sur le capital invalidité de l’assurance-accidents complémentaire.</w:t>
      </w:r>
    </w:p>
    <w:p>
      <w:r>
        <w:rPr>
          <w:b/>
        </w:rPr>
        <w:t>E. 42</w:t>
      </w:r>
    </w:p>
    <w:p>
      <w:r>
        <w:t>Le 30 novembre 2020, l’assurance a conclu au rejet du recours. Suite à l’expertise du CEMEDEX d’octobre 2017, des discussions transactionnelles avaient eu lieu entre les parties, sans aboutir à un accord. Un acompte IPAI avait été versé à l’assurée et le 19 février 2019, la cause avait été renvoyée pour examen des prestations. L’instruction médicale s’était ensuite avérée difficile et le médecin-</w:t>
      </w:r>
    </w:p>
    <w:p>
      <w:r>
        <w:t>A/3076/2020 - 6/11 - conseil avait requis une expertise sur pièces. Un expert de l’Inselspital de Berne avait finalement accepté la mission d’expertise, en exigeant un dossier radiologique complet. La mise sur pied de cette expertise avait pris beaucoup de temps en raison du refus de plusieurs experts. L’acompte de rente mensuel avait récemment été augmenté. L’assurée passait sous silence, dans son recours, les nombreuses discussions ayant eu lieu entre les parties, les acomptes versés régulièrement par l'intimée, également pour le volet assurance complémentaire qui ne faisait pas l'objet du présent litige, de même que les nombreuses démarches accomplies par l'intimée pour mener à bien l'instruction de l'affaire. On ne pouvait donc lui reprocher une quelconque passivité dans la gestion du dossier, ni une quelconque violation du principe de la célérité. En résumé, elle n'était pas encore en mesure de trancher matériellement le dossier de l’assurée, l'instruction médicale étant encore en cours. Il ne faisait nul doute qu'aucun retard injustifié ne pouvait lui être reproché. Bien au contraire, elle s'était constamment efforcée de faire avancer l'instruction du dossier ainsi que le démontrait le volumineux dossier joint. Par ailleurs, en regard de la mise en œuvre difficile de l'instruction complémentaire, une solution provisoire avait été trouvée par le versement d'acomptes sur rente. Les démarches nécessaires étaient en cours et elle ferait tout son possible pour que l'assurée puisse recevoir la décision définitive prise sur le fondement d'une évaluation médicale probante. En ce sens, il était douteux que des démarches telles que ce recours, qui engendrait un surcroît inutile de travail, participait à faire évoluer positivement les choses et à les accélérer, ce d'autant que l'autorité saisie d'un tel recours ne pouvait se substituer à l'assureur pour statuer sur le fond, mais ne pouvait qu'inviter ce dernier à statuer à bref délai, ce qui impliquait que l'assureur dispose pour ce faire des appréciations médicales utiles.</w:t>
      </w:r>
    </w:p>
    <w:p>
      <w:r>
        <w:rPr>
          <w:b/>
        </w:rPr>
        <w:t>E. 43</w:t>
      </w:r>
    </w:p>
    <w:p>
      <w:r>
        <w:t>Le 5 janvier 2021, l’assurée a répliqué, en relevant que l’assurance confirmait que le dossier était complètement instruit depuis octobre 2017 et qu’elle tentait de s’écarter du taux d’IPAI fixé en requérant une troisième appréciation médicale. Elle n’avait demandé que le 2 décembre 2019 au Dr H______ de donner un avis médical. L’assurance s’était enfin décidée à contacter un autre expert. La défense de l'assurance prétendant qu'une instruction complexe devait encore être mise en œuvre prêtait ainsi franchement à sourire, de même que la bonté dont elle pensait faire preuve en accordant des avances sur rente, alors que, d'une part, ces avances avaient été consenties après que la recourante avait dû déployer d'importants efforts pour les obtenir (l'augmentation de cette avance ayant d'ailleurs été uniquement consentie après le dépôt du présent recours, ce qui attestait de sa parfaite utilité) et, d'autre part, que le mécanisme des avances découlait de la loi elle-même. L’assurance avait finalement l'outrecuidance de reprocher à l’assurée d'avoir déposé un recours pour déni de justice, de sorte que l'arrêt devrait être communiqué à l'autorité de surveillance de l'assurance LAA, pour y donner suite utile.</w:t>
      </w:r>
    </w:p>
    <w:p>
      <w:r>
        <w:t>A/3076/2020 - 7/11 -</w:t>
      </w:r>
    </w:p>
    <w:p>
      <w:r>
        <w:rPr>
          <w:b/>
        </w:rPr>
        <w:t>E. 44</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w:t>
      </w:r>
    </w:p>
    <w:p>
      <w:r>
        <w:t>A/3076/2020 - 8/11 -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c.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L’art. 69 al. 4 LPA prévoit que si la juridiction administrative admet le recours pour déni de justice ou retard injustifié, elle renvoie l’affaire à l’autorité inférieure en lui donnant des instructions impératives. d. 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aucune décision formelle n’avait été rendue neuf mois après la demande en ce sens de l’assuré, faute de mesures d’instruction durant six mois (ATAS/711/2015 du 23 septembre 2015); - l’OAI, neuf mois après un jugement lui ordonnant de mettre en place une expertise, n’avait pas encore entrepris de démarches en ce sens (ATAS/430/2005 du 10 mai 2005);</w:t>
      </w:r>
    </w:p>
    <w:p>
      <w:r>
        <w:t>A/3076/2020 - 9/11 - - l’OAI avait attendu quatorze mois depuis l’opposition de l’assuré au projet pour mettre en œuvre une expertise multidisciplinaire à laquelle l’assuré avait conclu d’emblée (ATAS/484/2007 du 9 mai 2007). 4. En l’occurrence, la recourante reproche à l’intimée de ne pas avoir encore rendu de décision sur son droit aux prestations, à la suite de la décision sur opposition du 19 février 2019 de l’intimée, soit depuis 23 mois. Il apparait que, depuis la décision sur opposition précitée, l’intimée a requis, en avril 2019, des pièces médicales auprès de la recourante, qu’elle a reçues fin août 2019 ; elle a ensuite requis d’autres renseignements médicaux en août 2019, puis, le 2 décembre 2019, elle a sollicité le Dr H______ pour un avis médical sur pièces. Or, dès le 18 décembre 2019, l’intimée savait que le Dr H______ n’était pas en mesure de rendre une expertise sur pièces avant plusieurs mois, au vu de la réponse de celui-ci. Elle a néanmoins renoncé à chercher un autre expert et cela jusqu’au 7 mai 2020. De surcroit, bien que le Dr H______ ayant, à cette dernière date, à nouveau décliné le mandat en se déclarant seulement éventuellement disponible dès les vacances d’été, l’intimé a derechef attendu le mois de juillet 2020, sans chercher à contacter un autre expert, en prenant le risque, qui s’est finalement réalisé, que le Dr H______ renonce encore une fois à assumer ledit mandat. Il s’est ainsi écoulé presque sept mois (du 18 décembre au 9 juillet 2020) pendant lesquels le dossier de la recourante n’a pas été instruit du tout. Or, l’intimée n’a donné aucune explication qui justifierait qu’elle n’était pas en mesure, au 18 décembre 2019, de chercher un autre expert à même de se prononcer sur le dossier de la recourante, ce qu’elle a d’ailleurs fait par la suite, en mandatant le Dr L______, en août 2020. En particulier, le versement d’acomptes à la recourante, ainsi que les nombreuses discussions entre les parties (dont le dossier ne contient cependant pas de traces) ne sont pas à même d’expliquer en quoi l’intimée ne pouvait chercher un médecin disponible pour mener à bien la mission d’expertise. Quant à la recourante, elle a régulièrement requis des nouvelles de l’avancement de son dossier, auprès de l’intimée (notamment les 17 décembre 2019, 27 avril et 3 juillet 2020). Dans ces conditions, il y a lieu de constater que l’intimé a commis un retard injustifié dans le traitement du dossier de la recourante. Elle sera en conséquence invitée à rendre une décision dans les meilleurs délais, étant relevé que le Dr L______ est saisi de la mission d’expertise depuis plus de cinq mois, de sorte qu’il incombera à l’intimée de solliciter de sa part une remise rapide de son rapport d’expertise. Enfin, au vu de l’admission du recours, la question de savoir si la récolte de renseignements médicaux postérieurement à l’expertise d’octobre 2017 ainsi que la mise en œuvre d’une nouvelle expertise auprès du Dr L______ étaient inutiles et de nature à retarder la gestion du dossier, peut rester ouverte.</w:t>
      </w:r>
    </w:p>
    <w:p>
      <w:r>
        <w:t>A/3076/2020 - 10/11 - 5. Au vu de ce qui précède, le recours sera admis et l’intimée invitée à rendre une décision dans les meilleurs délais. Vu l’issue du litige, une indemnité de CHF 2’000.- sera accordée à la recourante à titre de participation à ses frais et dépens (art. 61 let. g LPGA; art. 6 du règlement sur les frais, émoluments et indemnités en matière administrative du 30 juillet 1986 [RFPA - E 5 10.03]), à charge de l’intimée.</w:t>
      </w:r>
    </w:p>
    <w:p>
      <w:r>
        <w:t>A/3076/2020 - 11/11 -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