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ATAS/50/2017 vom 23. Januar 2017</w:t>
      </w:r>
    </w:p>
    <w:p>
      <w:r>
        <w:t>GE Cour de justice, 2017-01-23, FR</w:t>
      </w:r>
    </w:p>
    <w:p>
      <w:r>
        <w:rPr>
          <w:b/>
        </w:rPr>
        <w:t xml:space="preserve">Quelle: </w:t>
      </w:r>
      <w:r>
        <w:t>https://mcp.opencaselaw.ch/entscheid/ge_gerichte_ATAS_50_2017</w:t>
      </w:r>
    </w:p>
    <w:p>
      <w:r>
        <w:t>FR: GE_GERICHTE ATAS/50/2017 du 23 janvier 2017</w:t>
      </w:r>
    </w:p>
    <w:p>
      <w:r>
        <w:t>IT: GE_GERICHTE ATAS/50/2017 del 23 gennaio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w:t>
      </w:r>
    </w:p>
    <w:p>
      <w:r>
        <w:t>A/2021/2016 5/6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w:t>
      </w:r>
    </w:p>
    <w:p>
      <w:r>
        <w:rPr>
          <w:b/>
        </w:rPr>
        <w:t>E. 4</w:t>
      </w:r>
    </w:p>
    <w:p>
      <w:r>
        <w:t>En l’espèce, le juge de première instance a ordonné le partage par moitié des prestations de sortie acquises durant le mariage par les demandeurs. Les dates pertinentes sont, d’une part, celle du mariage, le 20 novembre 2002, d’autre part le 10 mai 2016, date à laquelle le jugement de divorce est devenu exécutoire.</w:t>
      </w:r>
    </w:p>
    <w:p>
      <w:r>
        <w:rPr>
          <w:b/>
        </w:rPr>
        <w:t>E. 5</w:t>
      </w:r>
    </w:p>
    <w:p>
      <w:r>
        <w:t>Selon les documents produits, la prestation acquise pendant le mariage par le demandeur est de CHF 30'101,61 auprès de la Fondation Institution Supplétive LPP, les intérêts ayant déjà été calculés par celle-ci, tandis que celle acquise par la demanderesse est nulle. Ainsi le demandeur doit à son ex-épouse le montant de CHF 15'050,80 (CHF 30'101,61 : 2).</w:t>
      </w:r>
    </w:p>
    <w:p>
      <w:r>
        <w:rPr>
          <w:b/>
        </w:rPr>
        <w:t>E. 6</w:t>
      </w:r>
    </w:p>
    <w:p>
      <w:r>
        <w:t>En vertu de l'art. 22 al. 1 LFLP, les dispositions 3 à 5 de cette loi s'appliquent par analogie au montant à transférer, lorsque les prestations de sortie sont partagées après un divorce. L'art. 3 LFLP dispose que lorsque l'assuré entre dans une nouvelle institution de prévoyance, l'ancienne institution de prévoyance doit verser la prestation de sortie à cette nouvelle institution. Selon l'art. 4 al. 1 LFLP, s'il n'entre pas dans une autre institution de prévoyance, il doit communiquer à son institution de prévoyance sous quelle autre forme admise il entend maintenir sa prévoyance. A défaut de notification, l'institution de prévoyance verse la prestation de sortie, y compris les intérêts moratoires, à l'institution supplétive (art. 4 al. 2 LFPL). En l’occurrence, la demanderesse n’ayant pas communiqué le nom d’une institution de libre passage, la Fondation Institution Supplétive LPP sera invitée à ouvrir un compte en faveur de Mme A______.</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w:t>
      </w:r>
    </w:p>
    <w:p>
      <w:r>
        <w:t>A/2021/2016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