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ATAS/509/2024 vom 26. Juni 2024</w:t>
      </w:r>
    </w:p>
    <w:p>
      <w:r>
        <w:t>GE Cour de justice, 2024-06-26, FR</w:t>
      </w:r>
    </w:p>
    <w:p>
      <w:r>
        <w:rPr>
          <w:b/>
        </w:rPr>
        <w:t xml:space="preserve">Quelle: </w:t>
      </w:r>
      <w:r>
        <w:t>https://mcp.opencaselaw.ch/entscheid/ge_gerichte_ATAS_509_2024</w:t>
      </w:r>
    </w:p>
    <w:p>
      <w:r>
        <w:t>FR: GE_GERICHTE ATAS/509/2024 du 26 juin 2024</w:t>
      </w:r>
    </w:p>
    <w:p>
      <w:r>
        <w:t>IT: GE_GERICHTE ATAS/509/2024 del 26 giugno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Le délai de recours est de trente jours (art. 56 LPGA; art. 62 al. 1 de la de loi sur la procédure administrative du 12 septembre 1985 [LPA - E 5 10]). Interjeté dans la forme et le délai prévus par la loi, le recours est recevable.</w:t>
      </w:r>
    </w:p>
    <w:p>
      <w:r>
        <w:rPr>
          <w:b/>
        </w:rPr>
        <w:t>E. 2</w:t>
      </w:r>
    </w:p>
    <w:p>
      <w:r>
        <w:t>Le litige porte sur le droit de la recourante à une rente entière d’invalidité.</w:t>
      </w:r>
    </w:p>
    <w:p>
      <w:r>
        <w:t>A/3249/2020 - 5/13 -</w:t>
      </w:r>
    </w:p>
    <w:p>
      <w:r>
        <w:rPr>
          <w:b/>
        </w:rPr>
        <w:t>E. 3.1</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querellée a été rendue antérieurement au 1er janvier 2022, de sorte que les dispositions légales applicables seront citées dans leur ancienne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t>A/3249/2020 - 6/13 -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125 V 351 consid. 3).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135 V 465 consid. 4).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w:t>
      </w:r>
    </w:p>
    <w:p>
      <w:r>
        <w:t>A/3249/2020 - 7/13 -</w:t>
      </w:r>
    </w:p>
    <w:p>
      <w:r>
        <w:rPr>
          <w:b/>
        </w:rPr>
        <w:t>E. 4.1</w:t>
      </w:r>
    </w:p>
    <w:p>
      <w:r>
        <w:t>En l’espèce, l’expertise de la Dre D______ répond aux réquisits formels permettant de lui reconnaître une pleine valeur probante. L’intimé estime qu’elle est probante, mais la recourante conteste la conclusion de l’experte, selon laquelle elle pouvait faire une activité adaptée à 100% et son activité de couturière à 50%, considérant pour sa part que sa capacité de travail était de 0% dans toute activité. Elle a fait encore valoir que contrairement à ce que l’experte avait retenu, son activité d’émaillage était comparable avec un travail de bureau variable en position assise. La chambre de céans estime que les conclusions de l’experte sont cohérentes et convaincantes, dans la mesure où elle distingue une activité adaptée peu exigeante permettant de bien respecter les limitations fonctionnelles – en particulier un travail en position alternée assis/debout et la possibilité de changement de posture à partir de 30-45 minutes – du travail habituel de couturière de la recourante, qui nécessitait la position assise prolongée. Dans son complément d’expertise du</w:t>
      </w:r>
    </w:p>
    <w:p>
      <w:r>
        <w:rPr>
          <w:b/>
        </w:rPr>
        <w:t>E. 4.2</w:t>
      </w:r>
    </w:p>
    <w:p>
      <w:r>
        <w:t>Au vu des conclusions de l’expertise, une activité à temps complet était exigible de la recourante dans une activité adaptée. Se pose toutefois la question de savoir si un changement d’activité pouvait être exigé d’elle vu son âge et le fait qu’elle avait un emploi, relativement adaptée, auprès d’employeurs particulièrement compréhensifs, puisqu’il s’agissait de ses enfants.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Pour fixer le revenu sans invalidité, il faut établir ce que l'assuré aurait – au degré de la vraisemblance prépondérante – réellement pu obtenir au moment déterminant s'il n'était pas invalide (ATF 139 V 28 consid. 3.3.2 et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w:t>
      </w:r>
    </w:p>
    <w:p>
      <w:r>
        <w:t>A/3249/2020 - 10/13 - (ATF 129 V 222 consid. 4.1 ; arrêt du Tribunal fédéral 9C_869/2017 du 4 mai 2018 consid. 2.2). Le revenu d’invalide pris en compte pour fixer le taux d’invalidité doit être évalué avant tout en fonction de la situation professionnelle concrète de l’intéressé (ATF 135 V 297 consid. 5.2).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w:t>
      </w:r>
    </w:p>
    <w:p>
      <w:r>
        <w:rPr>
          <w:b/>
        </w:rPr>
        <w:t>E. 5</w:t>
      </w:r>
    </w:p>
    <w:p>
      <w:r>
        <w:t>mai 2022, elle a précisé qu’une position assise avec un travail variable de bureau n’était pas comparable avec un travail en position assise relativement statique pour faire de l’émaillage, en motivant sa position. Il est exact, comme l’a relevé la recourante, que l’experte a mentionné dans son rapport que la recourante indiquait travailler à 50% depuis plus d’une année, mais qu’en réalité elle quittait son poste de travail après deux heures. Cela ne remet toutefois pas en cause les conclusions de l’experte, puisqu’elle relatait alors l’appréciation subjective de la recourante sur l’évolution de son état de santé, ce qui devait être pris en compte par l’experte, mais ne la liait pas. En effet, l’experte devait prendre ses conclusions sur la base de l’anamnèse, mais également sur ses propres constats ainsi que les pièces du dossier. La recourante a également indiqué à l’experte, à teneur de l’anamnèse, qu’elle travaillait uniquement à 50%, et parfois pas du tout, ce qui apparaît contradictoire avec le fait qu’elle a ensuite déclaré qu’elle ne restait que deux heures par jour au travail. Il en ressort que l’experte a procédé à une analyse correcte de la situation en retenant que le temps de travail de la recourante variait selon les jours et selon les déclarations de cette dernière. Le fait que des mesures aient été prises pour faciliter le travail habituel de la recourante (chaise adaptée et canapé pour se reposer) n’en fait pas pour autant une activité adaptée. Cette notion doit être comprise, dans le cadre de la détermination de la capacité de travail, comme l’activité exigible la plus adaptée aux limitations fonctionnelles de la personne assurée et qui lui permet en conséquence le plus grand taux d’activité. Or l’experte a clairement considéré que l’activité habituelle de la recourante n’était pas la plus adaptée, puisqu’elle nécessitait une position assise prolongée et qu’elle ne permettait pas une capacité de travail entière,</w:t>
      </w:r>
    </w:p>
    <w:p>
      <w:r>
        <w:t>A/3249/2020 - 8/13 - contrairement à une activité peu exigeante et strictement adaptée aux limitations fonctionnelles de la recourante. Le fait que l’experte ait préconisé l’augmentation des antidouleurs n’apparaît pas critiquable, la recourante admettant qu’elle n’en prenait pas régulièrement et n’invoquant aucun avis médical contraire, mais seulement qu’elle ne voulait pas en prendre constamment, à teneur de ses déclarations à la chambre de céans. Elle précisait d’ailleurs ne pas suivre la prescription de son médecin à ce sujet. Selon la recourante, la Dre D______ avait préconisé qu’elle augmente les antidouleurs en retenant, dans son complément d’expertise qu’elle ne prenait qu’un Dafalgan le soir habituellement ou aucun médicament après une cure de trois à quatre jours. Or, cette affirmation était erronée, car lors de l’audience devant la chambre de céans du 1er décembre 2021, elle avait déclaré à la chambre de céans qu’elle prenait un Dafalgan pour dormir, parfois trois par jour quand cela n’allait pas bien, et qu’ensuite elle arrêtait quelques jours. Elle ne voulait pas en prendre constamment. À cet égard, la chambre de céans admet que l’experte aurait pu préciser qu’il arrivait à la recourante d’en prendre trois fois par jour. Cela étant, ses conclusions n’apparaissent erronées, dès lors qu’il n’est pas contesté par la recourante qu’elle ne prenait pas régulièrement des antidouleurs et qu’une augmentation des antidouleurs était possible, ne serait-ce que par davantage de régularité. La recourante a encore relevé que l’experte s’était contredite elle-même en préconisant qu’elle devait prendre du Dafalgan une à deux fois par jour, car elle avait indiqué au début de son rapport que selon la liste donnée par la recourante, elle prenait du Dafalgan depuis le 6 octobre 2018, deux fois 1 g par jour. L’on ne peut toutefois retenir que l’experte s’est contredite, car elle s’est prononcée dans son rapport complémentaire sur les déclarations de la recourante du 1er décembre 2021 à la chambre de céans qui venait de lui être communiquées et dont elle ne disposait pas lors de l’établissement de son premier rapport. En conclusions, les critiques de la recourante ne suffisent pas à remettre en cause la valeur probante de l’expertise de la Dre D______. La chambre de céans relève toutefois que l’experte ne se prononce pas sur l’évolution de la capacité de travail dans le temps. Un complément d’expertise n’apparaît toutefois pas nécessaire, pour les motifs suivants. L’intimé a retenu dans la décision querellée que la capacité de travail de la recourante dans son activité habituelle était de 0% du 7 octobre 2018 (début du délai d’attente) au 30 septembre 2019, de 50% dès le 1er octobre 2019, de 60% dès le 17 juin 2020 et de 50% dès le 1er août 2020. Il se fondait sur les premières conclusions du Dr C______, qui a retenu dans son rapport du 24 septembre 2019, une exigibilité de 50% dès le 1er octobre 2019, dans l’activité habituelle, qui était adaptée de son point de vue. L’intimé se fondait également sur l’appréciation de la Dre B______, notamment ses rapports</w:t>
      </w:r>
    </w:p>
    <w:p>
      <w:r>
        <w:t>A/3249/2020 - 9/13 - du 24 février 2020, qui attestait d’une capacité de 40% dès janvier 2020 et d’une capacité de 50% à nouveau dès le 1er août 2020, selon son rapport du 30 juillet 2020, s’éloignant ainsi des conclusions du Dr C______ qui avait conclu dans son rapport du 27 juillet 2020 à une reprise de l’activité professionnelle à 80% dès le 3 août et à 100% dès le 1er septembre 2020. Les rapports du Dr C______ apparaissent ainsi moins probants que ceux de la Dre B______. Il convient en conséquence de retenir, sur la base des rapports de cette dernière, que la recourante a été totalement incapable de travailler dans son activité habituelle dès le 7 octobre 2018, puis capable de travailler à 20% dès le 16 décembre 2019 (rapport du 11 décembre 2019), puis à 40% dès le 16 janvier 2020 (rapport du 14 janvier 2020), et à 50% dès le 1er août 2020 (rapport du 30 juillet 2020).</w:t>
      </w:r>
    </w:p>
    <w:p>
      <w:r>
        <w:rPr>
          <w:b/>
        </w:rPr>
        <w:t>E. 9</w:t>
      </w:r>
    </w:p>
    <w:p>
      <w:r>
        <w:t>avril 2013 consid. 5.3 et 5.4).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 tandis que le revenu d'invalide est estimé à un pourcentage plus bas, la différence en pour-cent entre les deux valeurs exprimant le taux d'invalidité. L'application de cette méthode se justifie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w:t>
      </w:r>
    </w:p>
    <w:p>
      <w:r>
        <w:t>A/3249/2020 - 11/13 - Une simple comparaison de pourcentage peut suffire lorsque l’assuré dispose d’une capacité résiduelle de travail dans son activité habituelle et qu’aucune autre activité n’est mieux adaptée à ses limitations fonctionnelles. Le taux d’invalidité est alors identique au taux d’incapacité de travail (cf. ATF 114 V 310 consid. 3a ; arrêt du Tribunal fédéral 9C_562/2022 du 12 septembre 2023 consid. 6 et les références).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148 V 321 consid. 7.3.1 ; 145 V 209 consid. 5.3 et les références). L’art. 17 al. 1 LPGA dispose que si le taux d’invalidité du bénéficiaire de la rente subit une modification notable, la rente est, d’office ou sur demande, révisée pour l’avenir, à savoir augmentée ou réduite en conséquence, ou encore supprimée.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l’espèce, dès lors que la recourante a conservé après l’accident son activité habituelle de couturière dans l’entreprise familiale, qui était partiellement adaptée à ses limitations fonctionnelles, et qu’elle était âgée de 62 ans en 2020, il n’était pas exigible de lui faire changer d’activité, les chances d’en trouver une plus adaptée apparaissant très faibles. Il en résulte que le taux d’invalidité doit être fixé, en tenant compte de son activité habituelle. Dans la mesure où la recourante a demandé les prestations de l’intimé en temps utile en février 2019, elle a droit à une rente entière dès le 1er octobre 2019. Son état s’est amélioré dès le 16 décembre 2019, avec une capacité de travail de 20%. L’intimé a établi le taux d’invalidité de la recourante en tenant compte comme salaire sans invalidité de CHF 48'000.- à 100%, sur la base du questionnaire de son employeur du 18 février 2019. Sur la base de ce salaire, le taux d’invalidité pour la même activité à 20% est de 80%, de sorte que la recourante a toujours droit à une rente entière dès le 1er mars 2020. La capacité de travail de la recourante est passée à 40% dès le 16 janvier 2020, ce qui lui ouvre le droit à un trois quarts de rente dès le 1er avril 2020, soit trois mois plus tard en application de l’art. 88a al. 1 RAI, sur la base d’un taux d’invalidité de 60%.</w:t>
      </w:r>
    </w:p>
    <w:p>
      <w:r>
        <w:t>A/3249/2020 - 12/13 - Puis sa capacité de travail a augmenté à 50% dès le 1er août 2020, ce qui lui ouvre le droit à une demi-rente dès 1er novembre 2020 (art. 88a al. 1 RAI). 5. Le recours est ainsi partiellement admis. La recourante obtenant gain de cause et étant assisté d’un conseil, elle a droit à des dépens qui seront fixés à CHF 3'000.- et mis à la charge de l’intimé (art. 61 let. g LPGA). Un émolument de CHF 200.- sera également mis à la charge de l'intimé (art. 69 al. 1bis LAI).</w:t>
      </w:r>
    </w:p>
    <w:p>
      <w:r>
        <w:t>A/3249/2020 - 13/13 -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