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ATAS/509/2008 vom 30. April 2008</w:t>
      </w:r>
    </w:p>
    <w:p>
      <w:r>
        <w:t>GE Cour de justice, 2008-04-30, FR</w:t>
      </w:r>
    </w:p>
    <w:p>
      <w:r>
        <w:rPr>
          <w:b/>
        </w:rPr>
        <w:t xml:space="preserve">Quelle: </w:t>
      </w:r>
      <w:r>
        <w:t>https://mcp.opencaselaw.ch/entscheid/ge_gerichte_ATAS_509_2008</w:t>
      </w:r>
    </w:p>
    <w:p>
      <w:r>
        <w:t>FR: GE_GERICHTE ATAS/509/2008 du 30 avril 2008</w:t>
      </w:r>
    </w:p>
    <w:p>
      <w:r>
        <w:t>IT: GE_GERICHTE ATAS/509/2008 del 30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Tant la LPGA, entrée en vigueur le 1er janvier 2003 et ayant entraîné la modification de nombreuses dispositions légales dans le domaine de l'assurance- invalidité, que les dispositions de la novelle du 21 mars 2003 modifiant la LAI (4ème révision), entrées en vigueur le 1er janvier 2004 (RO 2003 3852), sont applicables en l'espèce dès lors que les faits juridiquement déterminants sont postérieurs à leur entrée en vigueur (cf. ATF 130 V 446 ss consid. 1, 129 V 4 consid. 1.2).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w:t>
      </w:r>
    </w:p>
    <w:p>
      <w:r>
        <w:t>A/3632/2007 - 7/17 -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Envoyée en courrier non prioritaire, la décision a été reçue par le recourant au plus tôt le 3 septembre 2007 et le délai a commencé à courir le lendemain (art. 38 al. 1 LPGA) de sorte que le recours du 26 septembre 2007 a été formé en temps utile. Interjeté dans la forme et le délai prévus par la loi, le recours est recevable, en vertu des art. 56 ss LPGA.</w:t>
      </w:r>
    </w:p>
    <w:p>
      <w:r>
        <w:rPr>
          <w:b/>
        </w:rPr>
        <w:t>E. 4</w:t>
      </w:r>
    </w:p>
    <w:p>
      <w:r>
        <w:t>Le litige porte sur l'évaluation de l'invalidité du recourant et sur son droit à des mesures de reclassement. Même si le recourant se plaint d’une notification irrégulière de la décision litigieuse en tant qu’elle lui a été transmise directement au lieu d’être notifiée à son mandataire, cette question n’est pas à proprement parler litigieuse puisque l’irrégularité de la notification n’a pas eu d’incidence sur la sauvegarde du délai de recours.</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pouvoir calculer le degré d'invalidité, l'administration (ou le juge, s'il y a eu un recours) a besoin de documents que le médecin, éventuellement aussi d'autres</w:t>
      </w:r>
    </w:p>
    <w:p>
      <w:r>
        <w:t>A/3632/2007 - 8/17 -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 nèse), que la description des interférences médicales soit claire et, enfin, que les conclusions de l'expert soient bien motivées (ATF 125 V 351 consid. 3a).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7</w:t>
      </w:r>
    </w:p>
    <w:p>
      <w:r>
        <w:t>Le recourant allègue que sa capacité résiduelle de travail est de 50 % dans une activité adaptée et que l'intimé a omis, à tort, de mettre en oeuvre des mesures de réadaptation professionnelle aux fins d'évaluer concrètement son aptitude à exercer une activité légère à temps partiel. Pour sa part, l'intimé considère que, selon les divers rapports médicaux, l’assuré a une capacité résiduelle de travail entière dans une activité adaptée, toutefois avec un rendement limité de 20 % jusqu’à la fin août 2006. Il soutient qu’en estimant ne pouvoir travailler qu’à 50 % dans une activité légère, le recourant ne fait pas preuve de la motivation nécessaire pour admettre la réalisation des conditions d’une mesure de réadaptation professionnelle.</w:t>
      </w:r>
    </w:p>
    <w:p>
      <w:r>
        <w:t>A/3632/2007 - 9/17 -</w:t>
      </w:r>
    </w:p>
    <w:p>
      <w:r>
        <w:rPr>
          <w:b/>
        </w:rPr>
        <w:t>E. 8</w:t>
      </w:r>
    </w:p>
    <w:p>
      <w:r>
        <w:t>Le recourant ne conteste pas formellement la valeur probante des divers rapports d’expertise des Drs B__________ et D__________ admettant une capacité résiduelle entière dans une activité adaptée. Toutefois, étant donné qu’il allègue présenter une capacité résiduelle de travail limitée à 50 %, il y a lieu de vérifier si l’intimé a retenu, à juste titre, une capacité de travail résiduelle entière sans diminution de rendement depuis septembre 2006. Etant donné que le recourant ne prétend pas souffrir de troubles psychiques ayant une incidence sur sa capacité de travail, il n’est pas nécessaire d’examiner si le rapport d’expertise du Dr D__________ a une pleine valeur probante. Dans son deuxième rapport d'expertise du 4 octobre 2005, après avoir procédé à une anamnèse actuelle renseignant sur l’effet bénéfique limité à quelques jours de l’infiltration pratiquée le 21 juin 2005, le Dr B__________ a rapporté les plaintes de l'assuré, à savoir une augmentation de ses lombosciatalgies gauches avec une prédominance des lombalgies sur la sciatalgie et avec parfois des sensations de fourmillements dans les trois premiers orteils du membre inférieur gauche. Lors de son examen clinique, il a contesté la présence de nombreux signes de non- organicité de la douleur (six points de fibromyalgie douloureux sur 18, quatre signes de Waddell sur cinq, deux signes de Kummel sur deux et une boiterie antalgique très démonstrative du membre inférieur gauche). Il a diagnostiqué des lombosciatalgies gauches chroniques et des cervicalgies chroniques sans signe de syndrome radiculaire, des signes comportementaux de la douleur et une forte suspicion de participation psychogène aux douleurs. Il a estimé que, dans une activité qui ne nécessitait pas le port de charges de plus de cinq à 10 kilos, de mouvements répétitifs importants du rachis, le maintien de position en porte-à-faux ou en extension de la colonne cervicale, la capacité de travail était complète avec une diminution de rendement d'environ 20 %. Le Dr B__________ a établi son rapport au terme d'une analyse exhaustive du dossier, en se basant sur les radiographies et les appréciations médicales y figurant. De plus, les explications qu’il a données sur la description et l'appréciation des interférences médicales sont suffisamment claires pour évaluer la situation du recourant. L’expert s’est exprimé sur l'évolution de l'état de santé et sur la capacité de travail. Ses conclusions sont cohérentes et convaincantes, en tant que, notamment, il indique que, dans une activité adaptée tenant compte des limitations fonctionnelles, la capacité de travail du recourant est entière avec une diminution de rendement de 20 %. Par conséquent, son rapport remplit toutes les conditions jurisprudentielles permettant de lui reconnaître une pleine valeur probante (cf. ATF 125 V 352 consid. 3a). En revanche, les conclusions divergentes du Dr A__________ relatives à la capacité résiduelle de travail du recourant ne sont absolument pas convaincantes. En effet, dans un rapport du 9 juin 2005, il indique que le recourant ne dispose plus d’aucune capacité fonctionnelle à l’exception de l’intellect, de la marche ainsi que</w:t>
      </w:r>
    </w:p>
    <w:p>
      <w:r>
        <w:t>A/3632/2007 - 10/17 - de l’utilisation des bras et des mains, ce qui ne correspond manifestement pas aux limitations objectives du recourant qui ne souffre pas d’un grave handicap, mais de troubles dégénératifs de la colonne vertébrale très courants. De plus, il ne retient aucune capacité de travail dans une activité adaptée au motif que le recourant est invalide et qu’il a travaillé toute sa vie comme plâtrier dans le bâtiment. Puis, dans son rapport du 29 septembre 2006, il ne mentionne qu’une limitation fonctionnelle du membre inférieur gauche et ne répond pas aux questions relatives à la capacité de travail dans une activité adaptée. En motivant sa justification d’une incapacité de travail entière dans toute activité par l’existence d’une invalidité et par l’absence de connaissance d’une autre profession que plâtrier, le médecin traitant relate surtout la manière dont le patient assume et ressent lui-même ses facultés de travail, sans y porter un regard critique (ATFA non publiés du 12 juillet 2005, I 366/05 et du 14 septembre 2005, I 808/04, consid. 4.2). Or, il y a lieu d'établir la mesure de ce qui est raisonnablement exigible d'un assuré le plus objectivement possible. En effet, compte tenu des difficultés, en matière de preuve, à établir l'existence de douleurs, les simples plaintes subjectives de l'assuré ne suffisent pas pour justifier une invalidité (entière ou partielle; ATFA non publié du 30 novembre 2004, I 600/03, consid. 3.2) et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l'expertise (ATFA non publié du 7 mars 2007, I 113/06, consid. 4.4). Par conséquent, faute de motivation suffisante, les rapports du Dr A__________ ne sont pas susceptibles de faire douter du bien-fondé des conclusions du Dr GUTTMANN. Enfin, dans son rapport du 15 décembre 2006, le Dr E__________ a admis une capacité de travail de 100 % dans une activité adaptée avec baisse de rendement de 20 % jusqu’à fin août 2006. S’agissant des limitations fonctionnelles, il a admis une impossibilité à porter des charges de plus de 15 kg, à porter des charges à bout de bras de plus de 5 kg, la nécessité de changer de position assis-debout une fois par heure, si possible à son gré. Ce rapport ne contient aucune motivation limitant à fin août 2006 la baisse de rendement de 20 % admise par le Dr B__________ de façon durable. Par conséquent, il n’a aucune valeur probante et ne permet pas à l’intimé de limiter la durée de la diminution de rendement. Contrairement à ce que prétend le recourant, des mesures de réadaptation professionnelles n’ont aucune incidence sur l’évaluation de la capacité résiduelle de travail. En effet, si les constatations médicales peuvent être complétées par des renseignements d'ordre professionnel, par exemple par un stage dans un centre d'observation professionnel de l'assurance-invalidité, toutefois, ce dernier ne permet</w:t>
      </w:r>
    </w:p>
    <w:p>
      <w:r>
        <w:t>A/3632/2007 - 11/17 - pas d’évaluer concrètement dans quelle mesure l’assuré est apte à exercer une activité légère, mais bien d’établir quelles activités entrent concrètement en considération sur la base des renseignements médicaux et compte tenu des aptitudes résiduelles de l'assuré (ATFA non publié du 11 janvier 2007, I 778/05, consid. 6.1). En définitive, le Tribunal retient que le recourant présente une capacité résiduelle de travail de 100 % dans une activité adaptée avec une diminution de rendement de 20 %.</w:t>
      </w:r>
    </w:p>
    <w:p>
      <w:r>
        <w:rPr>
          <w:b/>
        </w:rPr>
        <w:t>E. 9</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A/3632/2007 - 12/17 - maximum de 25 % sur le salaire statistique permet de tenir compte des différents éléments qui peuvent influencer le revenu d'une activité lucrative (ATF 126 V 75 consid. 5b/aa-cc).</w:t>
      </w:r>
    </w:p>
    <w:p>
      <w:r>
        <w:rPr>
          <w:b/>
        </w:rPr>
        <w:t>E. 10</w:t>
      </w:r>
    </w:p>
    <w:p>
      <w:r>
        <w:t>En l’espèce, en application de l'art. 29 al. 1 let. b LAI (dans sa teneur en vigueur jusqu’au 31 décembre 2007), pour procéder à la comparaison des revenus, il convient de se placer en 2006 puisque l'incapacité de travail est attestée depuis le 17 janvier 2005 et que la demande de prestations date du 19 mai 2005. Selon le questionnaire pour l'employeur du 10 août 2005, le salaire du recourant était de 28 fr. 95 par heure sans atteinte à la santé. A raison de 42 heures et demi par semaines et 46 semaines par année (1955 heures par année), ce salaire s'élève à 56'597 fr. 25 plus un treizième salaire de 4'716 fr. 45 (56’597.25 : 12), soit un revenu sans invalidité de 61'313 fr. 70. Pour 2006, il convient d’adapter ce revenu à l’évolution des salaires nominaux de 1.1 % (OFS, évolution des salaires nominaux et réels, 2005-2006 ; tableau T1.05, branche de la construction) de sorte que le revenu sans invalidité est de 61'988 fr. 15 (61'313.70 + 1.1 %). En effet, contrairement à ce que soutient la réadaptatrice, la convention collective de travail (CCT) genevoise du second œuvre 2004-2006 (art. 16), prévoyait une augmentation du salaire horaire des plâtriers au 1er janvier 2006. Toutefois, étant donné que le salaire du recourant était supérieur à celui de la CCT, il n’y a pas lieu de tenir compte du salaire fixé par cette dernière pour calculer le revenu sans invalidité en 2006. Pour ce qui est du revenu d'invalide, le recourant n'ayant repris aucune activité lucrative, il y a lieu de se référer aux données de l'ESS. Compte tenu de l'activité de substitution dans un emploi adapté, à savoir un travail léger, sans port de charges de plus de cinq à 10 kilos, ni mouvements répétitifs importants du rachis, ni maintien de position en porte-à-faux ou en extension de la colonne cervicale, le salaire de référence est celui auquel peuvent prétendre les hommes effectuant des activités simples et répétitives dans le secteur privé (ESS 2006, TA1, niveau de qualification 4). Il s'élève, en 2006, à 56'784 fr. (4'732 x 12) part au 13ème salaire comprise. Ce secteur offre un large éventail d'activités ainsi qu'un nombre significatif d'activités légères ne requérant pas de qualifications professionnelles particulières et donc adaptées au handicap du recourant (cf. Plädoyer, 2002/6 p. 64, consid. 4b; SVR 2002 IV no 24 p. 76 consid. 3; ATFA non publiés du 16 juillet 2004, I 719/03, consid. 4.2 et du 10 avril 2006, U 12/05, consid. 5). Par ailleurs, ces activités ne nécessitent aucune formation particulière autre qu'une mise au courant initiale (cf. ATFA non publié du 27 décembre 2005, I 727/05, consid. 3.2). De plus, puisque les salaires bruts standardisés sont fondés sur un horaire de travail de quarante heures (ATF 129 V 410 consid. 3.1.2), le revenu statistique doit être adapté à l'horaire de travail en 2006 qui est de 41.7 heures par semaine (OFS, durée normale de travail dans les entreprises) soit à 59’197 fr. 30 (56'784 x 41.7 : 40) et à la diminution de rendement de 20 % ce qui le porte à 47'357 fr. 85 (59'197.30 x 80 %).</w:t>
      </w:r>
    </w:p>
    <w:p>
      <w:r>
        <w:t>A/3632/2007 - 13/17 - Etant donné que le recourant ne peut exercer qu'une activité légère qui est moins bien rémunérée qu'un travail avec port de charges, que sa scolarité a été limitée à l'école primaire, qu’à la date de la décision il travaillait depuis 17 ans chez le même employeur et était âgé de 55 ans, il ne pourrait obtenir qu'un salaire moins élevé que le salaire statistique (ATFA non publiés du 10 mai 2002, I 481/01, consid. 4c et du 2 décembre 2002, I 500/02, consid. 1.4.1.). En revanche, la mauvaise maîtrise du français ainsi qu’un manque de formation ne font pas partie des circonstances à prendre en considération pour apprécier le taux de l’abattement et ne constituent pas des circonstances supplémentaires susceptibles d'influencer l'étendue de l'invalidité (ATF 107 V 17 consid. 2c p. 21, ATFA non publiés I 377/98 du 28 juillet 1999, consid. 1 et les références, publié in VSI 1999 p. 246 et I 1082/06 du 24 septembre 2007 consid. 2.2). Au demeurant, dans des circonstances personnelles et professionnelles similaires, la jurisprudence retient un abattement de 20 % (ATFA non publié du 14 juin 2006, I 138/05, consid. 5). Par conséquent, il y a lieu de procéder à un abattement de 20 % en raison de l’exercice d’une activité légère, de son âge, de l'ancienneté de service et de sa faible scolarisation de sorte que le revenu d'invalide doit être arrêté à 37’886 fr. 30 (47'357.85 - 20 % de 47'357.85) et le taux d'invalidité à 38.9 % (61’988.15 - 37'886.30 : 61'988.15), taux qui est insuffisant pour donner droit à une rente d'invalidité.</w:t>
      </w:r>
    </w:p>
    <w:p>
      <w:r>
        <w:rPr>
          <w:b/>
        </w:rPr>
        <w:t>E. 11</w:t>
      </w:r>
    </w:p>
    <w:p>
      <w:r>
        <w:t>Il reste à examiner la question des mesures d'ordre professionnel. Selon l'art. 28 al. 2 LAI en corrélation avec les art. 7 et 16 LPGA, la réadaptation a la priorité sur la rente dont l'octroi n'entre en ligne de compte que si une réadaptation suffisante est impossible (ATFA du 13 juin 2007, I 552/06, consid. 3.1). Saisie d'une demande de rente ou appelée à se prononcer à l'occasion d'une révision de celle-ci, l'administration doit donc élucider d'office, avant toute chose, la question de la réintégration de l'assuré dans le circuit économique (ATF 108 V 212, 99 V 48).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 (orientation professionnelle, formation professionnelle initiale, reclassement professionnel, service de placement; art. 8 al. 3 let. b, 15 à 18 LAI). Le fait que l'assuré ne peut plus exercer sa profession antérieure ne suffit pas, à lui seul, pour fonder un droit à un reclassement. L'assuré n'a pas droit à des mesures de réadaptation s'il ne subit pas une perte de gain permanente ou de longue durée (20 % au moins) dans une activité raX__________nnablement exigible et pouvant</w:t>
      </w:r>
    </w:p>
    <w:p>
      <w:r>
        <w:t>A/3632/2007 - 14/17 - être exercée sans autres mesures de réadaptation (ATF 124 V 110 consid. 2b et les références). Pour déterminer si une mesure est de nature à rétablir, améliorer, sauvegarder ou à favoriser l'usage de la capacité de gain d'un assuré, il convient d'effectuer un pronostic sur les chances de succès des mesures demandées (cf. ATF 132 V 221 consid. 3.2.2, ATF 110 V 101 consid. 2), qui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(art. 8 al. 1 LAI ; RCC 1970 p. 23, ATFA non publié du 2 février 2006, I 512/04, consid. 2.2.).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Si les préférences de l'intéressé quant au choix du genre de reclassement doivent être prises en considération, elles ne sauraient jouer un rôle déterminant (arrêt I 397/87 du 15 janvier 1988, consid. 1 et la référence, publié in RCC 1988 p. 265).</w:t>
      </w:r>
    </w:p>
    <w:p>
      <w:r>
        <w:rPr>
          <w:b/>
        </w:rPr>
        <w:t>E. 12</w:t>
      </w:r>
    </w:p>
    <w:p>
      <w:r>
        <w:t>En l'espèce, de la comparaison des revenus il résulte un taux d'invalidité de 38.9 % qui est largement supérieur au seuil minimum d’environ 20 % prévu par la jurisprudence pour ouvrir le droit à une mesure de réadaptation professionnelle. Dans le présent cas, faute de mise en œuvre d’un stage d’observation professionnelle, il n’est pas possible d’évaluer si le recourant a des capacités d'adaptation, d'apprentissage et d'intégration sociale. Toutefois, dans la mesure où il n'envisage pas la reprise d'une activité professionnelle à plus de 50 % alors que le Dr B__________ admet une capacité de travail entière dans une activité adaptée, le recourant atteste d’un faible degré de motivation pour reprendre une activité lucrative ce qui permet d’établir un pronostic négatif quant aux chances de succès</w:t>
      </w:r>
    </w:p>
    <w:p>
      <w:r>
        <w:t>A/3632/2007 - 15/17 - d’une mesure de reclassement. Ce pronostic est confirmé par les conclusions du Dr B__________, qui dans son rapport d’expertise du 4 octobre 2005, précise que la reprise d’une activité adaptée est théoriquement possible dès maintenant mais qu’en pratique il est probable que le patient se plaindra de douleurs intenses qui le feront rapidement mettre en arrêt de travail, quel que soit l’emploi envisagé. Dans ces conditions, étant donné qu'on peut raisonnablement exiger du recourant qu'il exerce à 100 % une activité adaptée à son handicap même sans mesures de réadaptation, et vu le faible degré de motivation de l'assuré, force est de constater que le coût d'une mesure de reclassement professionnel serait disproportionné par rapport aux chances limitées de succès d'une telle mesure dans le cas d'espèce (cf. ATFA du 16 septembre 2003, I 657/02, consid. 6.2 et du 22 août 2002, I 440/01, consid. 3e). En conséquence, c'est à raison que l'intimé a rejeté la demande du recourant tendant à l'octroi d'un reclassement dans une nouvelle profession adaptée à son état de santé. Toutefois, puisque le recourant n’a acquis une formation professionnelle qu’en exerçant la même activité chez son employeur pendant 17 ans, qu’il subit plusieurs limitations fonctionnelles rendant difficile le choix d’une nouvelle profession et que, dans son rapport du 14 août 2007, le Dr A__________ recommande une réorientation professionnelle, une mesure d’orientation professionnelle au sens de l'art. 15 LAI apparaît suffisante, au regard du principe de proportionnalité (art. 8 al. 1 LAI), pour permettre au recourant de trouver un emploi adapté. Il incombera donc à l'intimé, à qui la cause doit être renvoyée, d'en déterminer les modalités. Enfin, au cas où les mesures d'orientation professionnelle déboucheraient sur la nécessité d'un changement d'activité, il appartiendra à l'OCAI de mettre en œuvre une aide au placement au sens de l'art. 18 al. 1 LAI.</w:t>
      </w:r>
    </w:p>
    <w:p>
      <w:r>
        <w:rPr>
          <w:b/>
        </w:rPr>
        <w:t>E. 13</w:t>
      </w:r>
    </w:p>
    <w:p>
      <w:r>
        <w:t>Au vu de ce qui précède, le recours sera partiellement admis. Le recourant obtenant partiellement gain de cause, une indemnité de 1'000 fr. lui sera accordée à titre de participation à ses frais et dépens (art. 61 let. g LPGA). Au vu du sort du recours, il y a lieu de condamner l’intimé au paiement d'un émolument de 200 fr. ***</w:t>
      </w:r>
    </w:p>
    <w:p>
      <w:r>
        <w:t>A/3632/2007 - 16/17 -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