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ATAS/508/2025 vom 30. Juni 2025</w:t>
      </w:r>
    </w:p>
    <w:p>
      <w:r>
        <w:t>GE Cour de justice, 2025-06-30, FR</w:t>
      </w:r>
    </w:p>
    <w:p>
      <w:r>
        <w:rPr>
          <w:b/>
        </w:rPr>
        <w:t xml:space="preserve">Quelle: </w:t>
      </w:r>
      <w:r>
        <w:t>https://mcp.opencaselaw.ch/entscheid/ge_gerichte_ATAS_508_2025</w:t>
      </w:r>
    </w:p>
    <w:p>
      <w:r>
        <w:t>FR: GE_GERICHTE ATAS/508/2025 du 30 juin 2025</w:t>
      </w:r>
    </w:p>
    <w:p>
      <w:r>
        <w:t>IT: GE_GERICHTE ATAS/508/2025 del 30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w:t>
      </w:r>
    </w:p>
    <w:p>
      <w:r>
        <w:t>Le litige porte sur la conformité au droit de la sanction infligée au recourant pour être sans travail par sa propre faute, soit une suspension de 25 jours du droit à l'indemnité de chômage, et de la demande de restitution de CHF 5'813.90 en découlant.</w:t>
      </w:r>
    </w:p>
    <w:p>
      <w:r>
        <w:rPr>
          <w:b/>
        </w:rPr>
        <w:t>E. 3</w:t>
      </w:r>
    </w:p>
    <w:p>
      <w:r>
        <w:t>Le recourant conteste avoir été sans travail par sa propre faute.</w:t>
      </w:r>
    </w:p>
    <w:p>
      <w:r>
        <w:rPr>
          <w:b/>
        </w:rPr>
        <w:t>E. 3.1</w:t>
      </w:r>
    </w:p>
    <w:p>
      <w:r>
        <w:t>Selon l’art. 17 al. 1 LACI, l’assuré qui fait valoir des prestations d’assurance doit, avec l’assistance de l’office du travail compétent, entreprendre tout ce qu’on peut raisonnablement exiger de lui pour éviter le chômage ou l’abréger. 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w:t>
      </w:r>
    </w:p>
    <w:p>
      <w:r>
        <w:t>A/8/2025 - 6/13 - travail, a donné à son employeur un motif de résiliation du contrat de travail (art. 44 al. 1 let. a de l’ordonnance sur l’assurance-chômage obligatoire et l’indemnité en cas d’insolvabilité du 31 août 1983 - OACI - RS 837.02).</w:t>
      </w:r>
    </w:p>
    <w:p>
      <w:r>
        <w:rPr>
          <w:b/>
        </w:rPr>
        <w:t>E. 3.2</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(ATF 112 V 242 consid. 1 ; arrêt du Tribunal fédéral 8C_370/2014 du 11 juin 2015 consid. 2.2 ; Thomas NUSSBAUMER, in Schweizerisches Bundesverwaltungsrecht [SBVR], Arbeitslosenversicherung, vol. XIV, 3e éd. 2016, p. 2515 n. 837). En outre, il est nécessaire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(Boris RUBIN, Commentaire de la loi sur l'assurance-chômage, 2014, n. 24 ad art. 30).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du Tribunal fédéral C 223/05 du 16 novembre 2005, publié in SVR 2006 ALV n° 15 consid. 1 p. 51). Une suspension du droit à l’indemnité ne peut être infligée à l’assuré que si le comportement qui lui est reproché est clairement établi. Lorsqu’un différend oppose l’assuré à son employeur, les seules affirmations de celui-ci ne suffisent</w:t>
      </w:r>
    </w:p>
    <w:p>
      <w:r>
        <w:t>A/8/2025 - 7/13 - pas à établir une faute contestée par l’assuré et non confirmée par d’autres preuves ou indices aptes à convaincre l’administration ou le juge (ATF 112 V 245 consid. 1 ; arrêts du Tribunal fédéral 8C_497/2011 du 4 avril 2012 consid. 4 ; 8C_660/2009 du 18 mars 2010 consid. 3 ; C 190/06 du 20 décembre 2006 consid. 1.2).</w:t>
      </w:r>
    </w:p>
    <w:p>
      <w:r>
        <w:rPr>
          <w:b/>
        </w:rPr>
        <w:t>E. 3.3</w:t>
      </w:r>
    </w:p>
    <w:p>
      <w:r>
        <w:t>Selon la Directive LACI IC – marché du travail/assurance-chômage (TC) du Secrétariat d'État à l'économie (ci-après : Bulletin LACI IC et SECO), dans le cas de suspension visé à l’art. 44 al. 1 let. a OACI, il faut établir clairement si c’est effectivement le comportement reproché à l’assuré qui est à l’origine de son licenciement. Ainsi, si les déclarations de l’employeur et du travailleur sont contradictoires, la caisse ne doit pas s’appuyer uniquement sur les déclarations de l’une ou de l’autre partie mais d’abord et surtout sur d’autres preuves du comportement fautif (n. D6, D18 et D76). Il doit y avoir un lien de causalité juridiquement pertinent entre le motif de licenciement, c'est-à-dire le comportement fautif de l'assuré, et le chômage. Lorsque l’employeur invoque par exemple comme motifs de licenciement à la fois le comportement de l’assuré et une restructuration de l’entreprise entraînant des suppressions de postes, il n’y a pas de lien de causalité entre le comportement reproché à l’assuré et son chômage si l’employeur avait de toute façon l’intention de le licencier à la même date, en raison de la restructuration de l’entreprise (n. D15). Le chômage est notamment considéré comme fautif lorsque l’assuré, par son comportement, en particulier par la violation de ses obligations contractuelles de travail, a donné à son employeur un motif de résiliation du contrat de travail (n. D16).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(n. D18). Aucune suspension pour chômage fautif ne sera prononcée lorsque le comportement de l’assuré est excusable (n. D22).</w:t>
      </w:r>
    </w:p>
    <w:p>
      <w:r>
        <w:rPr>
          <w:b/>
        </w:rPr>
        <w:t>E. 3.4</w:t>
      </w:r>
    </w:p>
    <w:p>
      <w:r>
        <w:t>En l'espèce, l'intimée a retenu que le recourant avait transgressé les règlements internes de l'employeuse en matière de rabais sur les marchandises, qu'en tant que responsable de magasin, il devait respecter et faire respecter lesdits règlements, qu'il avait manqué à ses devoirs de manager et qu'en agissant de la sorte, il avait accepté de prendre le risque de se faire licencier. Le recourant affirme quant à lui avoir été victime d'un licenciement abusif orchestré par son chef de vente. Les faits qui ont conduit au licenciement du recourant ont été découverts le 18 juillet 2023, alors qu'il était en vacances, lorsque le chef de vente, qui avait pris sa pause dans la salle de pause du magasin dans lequel le recourant travaillait,</w:t>
      </w:r>
    </w:p>
    <w:p>
      <w:r>
        <w:t>A/8/2025 - 8/13 - s'est rendu compte que des employés avaient acheté des marchandises à 50%, en contrariété avec les directives internes. Le recourant a été entendu sur ces faits par son employeuse le 31 juillet 2023. À cette occasion, il a reconnu avoir autorisé les collaborateurs à s'accorder une réduction de 50% sur des produits frais dont la date de péremption arrivait à échéance, dans le but d'éviter de pertes inutiles, ceci dès 14h, voire avant, puisqu'il l'autorisait pour les pauses de midi, alors que les directives internes ne l'autorisaient qu'à partir de 17h. Il a également reconnu avoir réduit d'autres articles à 50%, en cas de surstocks ou d'emballage endommagé. Si le recourant affirme qu'il n'avait lors de cet entretien pas pu se défendre car il était déstabilisé, il convient de constater qu'il a signé le procès-verbal d'audition et qu'il a ensuite encore reconnu une partie de ces faits dans ses observations non datées de contestation de son licenciement, et donc rédigées postérieurement à celui-ci et non plus sous la pression de l'audition, observations qu'il a lui-même versées à la procédure en annexe à sa demande d'indemnités de chômage. Par ailleurs, le recourant ne conteste pas que ces éléments sont contraires aux directives internes. Il affirme par contre dans le cadre de la procédure de recours, comme auparavant dans la procédure d'opposition, avoir procédé ainsi sur ordre de son chef de vente. Rien de tel ne ressort cependant du procès-verbal de son audition et ni du courrier de contestation de son licenciement, pas plus que des pièces produites à l'appui de l'opposition. Cette argumentation n'a en outre été formulée qu'une fois connues la décision initiale de l'intimée, la qualification de chômage fautif ainsi que les conséquences en découlant et le recourant n'a entrepris aucune démarche pour contester son licenciement par la voie judiciaire, étant relevé que l'adjoint-gérant a reconnu les faits et a également été licencié et que l'assistant-gérant et trois autres collaborateurs ont reçu un avertissement. Au vu de ce qui précède, il est clairement établi que le recourant a violé ses obligations contractuelles en ne respectant pas et en autorisant son équipe à violer les règles de son employeuse applicables en matière de rabais sur la marchandise. Ce faisant, il a pris le risque de se faire licencier et devait s'attendre à recevoir un congé. Le recourant s'est dès lors retrouvé sans travail par sa propre faute, étant relevé que le contexte de son divorce ne permet pas de retenir que son comportement serait excusable. La sanction est par conséquent fondée dans son principe.</w:t>
      </w:r>
    </w:p>
    <w:p>
      <w:r>
        <w:rPr>
          <w:b/>
        </w:rPr>
        <w:t>E. 4</w:t>
      </w:r>
    </w:p>
    <w:p>
      <w:r>
        <w:t>Il convient à présent d'examiner la quotité de la sanction.</w:t>
      </w:r>
    </w:p>
    <w:p>
      <w:r>
        <w:rPr>
          <w:b/>
        </w:rPr>
        <w:t>E. 4.1</w:t>
      </w:r>
    </w:p>
    <w:p>
      <w:r>
        <w:t>La durée de la suspension du droit à l’indemnité de chômage est proportionnelle à la gravité de la faute et ne peut excéder, par motif de suspension, 60 jours (art. 30 al. 3 3e phrase LACI). La durée de la suspension dans l’exercice du droit à l’indemnité est de 1 à 15 jours en cas de faute légère (let. a), 16 à 30 jours en cas de faute de gravité moyenne (let. b), 31 à 60 jours en cas de faute grave (let. c ; art. 45 al. 2 OACI).</w:t>
      </w:r>
    </w:p>
    <w:p>
      <w:r>
        <w:t>A/8/2025 - 9/13 -</w:t>
      </w:r>
    </w:p>
    <w:p>
      <w:r>
        <w:rPr>
          <w:b/>
        </w:rPr>
        <w:t>E. 4.2</w:t>
      </w:r>
    </w:p>
    <w:p>
      <w:r>
        <w:t>La durée de la suspension du droit à l’indemnité de chômage est fixée compte tenu non seulement de la faute, mais également du principe de proportionnalité (arrêt du Tribunal fédéral C 254/06 du 26 novembre 2007).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 Bulletin LACI IC, D64).</w:t>
      </w:r>
    </w:p>
    <w:p>
      <w:r>
        <w:rPr>
          <w:b/>
        </w:rPr>
        <w:t>E. 4.3</w:t>
      </w:r>
    </w:p>
    <w:p>
      <w:r>
        <w:t>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l’échelle de suspensions à l’intention des caisses de chômage établie par le SECO, la faute est qualifiée de légère à grave en cas de licenciement du travailleur dans le respect des délais de congé en raison de son comportement, en particulier de la violation de ses obligations contractuelles de travail. Les avertissements de l’employeur peuvent entraîner un durcissement de la sanction ; leur nombre, leur intervalle, leur motif et le fait que le dernier avertissement précède ou non de peu la résiliation, sont des facteurs à prendre en compte (Bulletin LACI IC, n. D75).</w:t>
      </w:r>
    </w:p>
    <w:p>
      <w:r>
        <w:rPr>
          <w:b/>
        </w:rPr>
        <w:t>E. 4.4</w:t>
      </w:r>
    </w:p>
    <w:p>
      <w:r>
        <w:t>Parmi l’abondante casuistique relative aux sanctions prononcées dans les cas visés par l’art. 44 al. 1 let. a OACI, on peut citer les exemples suivants : 45 jours pour un employé qui n'a pas annoncé une absence, alors que son manque de ponctualité, de communication et des problèmes d'alcool avaient déjà fait l'objet d'avertissements de son employeur (arrêt du Tribunal fédéral 8C_606/2010 du 20 août 2010) ; 38 jours pour un travailleur qui n'a pas averti son employeur du fait qu'il ne pourrait se rendre au travail (arrêt du Tribunal fédéral des assurances C 2/06 du 4 mai 2006) ; 36 jours pour un employé aux retards répétés au travail (arrêt du Tribunal fédéral 8C_649/2009 du 30 octobre 2009) ; 31 jours pour une arrivée tardive après deux avertissements (arrêt du Tribunal fédéral des assurances C 84/06 du 4 septembre 2006) ; 31 jours pour un assuré ayant à plusieurs reprises falsifié le pointage de ses heures de travail, ce qui a conduit à son licenciement immédiat (arrêt du Tribunal fédéral des assurances C 154/03 du 16 février 2004) ; 31 jours pour un employé de restauration s'étant présenté à de nombreuses reprises en retard à son travail malgré trois avertissements (arrêt du Tribunal fédéral des assurances C 207/05 du 31 octobre 2006) ; 25 jours pour un employé qui manque de motivation, ne réalise pas les objectifs qui lui sont fixés et s'arroge des pauses</w:t>
      </w:r>
    </w:p>
    <w:p>
      <w:r>
        <w:t>A/8/2025 - 10/13 - non autorisées malgré plusieurs discussions avec son employeur sur la nécessité de s'améliorer (arrêt du Tribunal fédéral des assurances C 281/06 du 9 octobre 2007) ; 20 jours pour un magasinier ayant unilatéralement modifié ses horaires de travail, rompant ainsi le lien de confiance avec son employeur (arrêt du Tribunal fédéral des assurances C 127/00 du 20 décembre 2000).</w:t>
      </w:r>
    </w:p>
    <w:p>
      <w:r>
        <w:rPr>
          <w:b/>
        </w:rPr>
        <w:t>E. 4.5</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4.6</w:t>
      </w:r>
    </w:p>
    <w:p>
      <w:r>
        <w:t>En l'espèce, l'intimée a tenu compte du fait que le recourant avait manqué à ses obligations de manager, que l'employeuse avait respecté le délai de congé, qu'il n'avait pas fait l'objet d'un avertissement et que selon ses explications, il avait eu pour objectif de minimiser les pertes, pour qualifier la faute de moyenne plutôt que grave et fixer la suspension à 25 jours. Ce faisant, l'intimée a tenu compte des circonstances du cas particulier, et notamment du fait que le recourant, comme il le souligne, n'avait pas d'antécédents. Au regard de l'ensemble des circonstances et du fait que le recourant a transgressé et autorisé son équipe à violer les directives de son employeuse, et compte tenu de la casuistique des sanctions exposées ci-avant, une suspension de 25 jours dans l'exercice du droit à l'indemnité, correspondant à la tranche supérieure de la fourchette pour une faute de gravité moyenne, n'apparaît pas critiquable.</w:t>
      </w:r>
    </w:p>
    <w:p>
      <w:r>
        <w:rPr>
          <w:b/>
        </w:rPr>
        <w:t>E. 5</w:t>
      </w:r>
    </w:p>
    <w:p>
      <w:r>
        <w:t>Reste à examiner si la demande en restitution des prestations est justifiée.</w:t>
      </w:r>
    </w:p>
    <w:p>
      <w:r>
        <w:rPr>
          <w:b/>
        </w:rPr>
        <w:t>E. 5.1</w:t>
      </w:r>
    </w:p>
    <w:p>
      <w:r>
        <w:t>Aux termes de l'art. 25 LPGA, auquel renvoie l'art. 95 al. 1 LACI, les prestations indûment touchées doivent être restituées. La restitution ne peut être exigée lorsque l'intéressé était de bonne foi et qu'elle le mettrait dans une situation difficile (al. 1). Selon l’art. 25 al. 2 LPGA en vigueur dès le 1er janvier 2021, le droit de demander la restitution s’éteint trois ans après le moment où l’institution d’assurance a eu connaissance du fait, mais au plus tard cinq ans après le versement de la</w:t>
      </w:r>
    </w:p>
    <w:p>
      <w:r>
        <w:t>A/8/2025 - 11/13 - prestation. Si la créance naît d’un acte punissable pour lequel le droit pénal prévoit un délai de prescription plus long, celui-ci est déterminant. Les délais de l'art. 25 al. 2 LPGA sont des délais (relatif et absolu) de péremption, qui doivent être examinés (ATF 146 V 217 consid. 2.1 et les références ; ATF 142 V 20 consid. 3.2.2 et les références). Le délai de péremption relatif de trois ans commence à courir dès le moment où l'administration aurait dû connaître les faits fondant l'obligation de restituer, en faisant preuve de l'attention que l'on pouvait raisonnablement exiger d'elle (ATF 148 V 217 consid. 5.1.1 ;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148 V 217 consid. 5.1.1 et 5.2.1 ; ATF 146 V 217 consid. 2.1 ; ATF 140 V 521 consid. 2.1).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8C_754/2020 du 11 juin 2021 consid. 5.2 et les références).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 arrêt du Tribunal fédéral 8C_754/2020 précité consid. 5.2 et les références). Le délai de péremption absolu de cinq ans commence à courir à la date du versement effectif de la prestation (arrêt du Tribunal fédéral 8C_616/2009 du 14 décembre 2009 consid. 3.2 et les références).</w:t>
      </w:r>
    </w:p>
    <w:p>
      <w:r>
        <w:rPr>
          <w:b/>
        </w:rPr>
        <w:t>E. 5.2</w:t>
      </w:r>
    </w:p>
    <w:p>
      <w:r>
        <w:t>L'art. 30 al. 3 in fine LACI prévoit que l’exécution de la suspension est caduque six mois après le début du délai de suspension. Conformément à l'art. 45 al. 1 let. a OACI, le début du délai de suspension prendra effet à partir du premier jour qui suit la cessation du rapport de travail lorsque l'assuré est devenu chômeur par sa propre faute. Il peut commencer à courir avant que l'assuré ne se soit inscrit au chômage, il ne correspond donc pas forcément au moment à compter duquel les jours de suspension peuvent être effectivement déduits (ATF 114 V 350 consid. 2.c ; Boris RUBIN, op. cit., n. 132 ad art. 30 LACI). Si l’assuré n’a plus droit aux indemnités au moment où la décision de suspension est rendue, la sanction est alors exécutée sous forme de restitution des indemnités</w:t>
      </w:r>
    </w:p>
    <w:p>
      <w:r>
        <w:t>A/8/2025 - 12/13 - versées. La décision en restitution doit être prononcée pendant le délai d'exécution de six mois (art. 30 al. 3 LACI ; Bulletin LACI IC, n. D50). La restitution ne pourra concerner que des indemnités qui auraient pu être versées pour la période débutant le premier jour selon les critères de l'art. 45 OACI et se terminant six mois plus tard (Boris RUBIN, op. cit., n. 128 ad art. 30).</w:t>
      </w:r>
    </w:p>
    <w:p>
      <w:r>
        <w:rPr>
          <w:b/>
        </w:rPr>
        <w:t>E. 5.3</w:t>
      </w:r>
    </w:p>
    <w:p>
      <w:r>
        <w:t>En l'occurrence, le recourant n'étant plus au chômage depuis le 1er février 2025 et ne bénéficiant plus d'indemnités de chômage, la sanction ne pouvait être exécutée que sous forme d'une restitution des indemnités versées. Par ailleurs, la décision de restitution a été prononcée dans le délai de six mois à compter du 1er novembre 2023. S'agissant des délais de l'art. 25 al. 2 LPGA, le délai de péremption relatif court à compter du moment où l'intimée a eu connaissance des faits fondant l'obligation de restituer, soit dès la connaissance du chômage fautif par le recourant. Le délai relatif de trois ans a ainsi commencé à courir lors de la réception, le 2 novembre 2023, du formulaire complété par l'employeuse le 30 novembre 2023 auquel le procès-verbal d'audition du 31 juillet 2023 était annexé. Il n'était par conséquent pas échu au jour de la décision du 29 avril 2024. Quant au délai de péremption absolu de cinq ans, il est également respecté, dès lors que la décision de restitution a été rendue moins de cinq ans après le versement des indemnités de chômage de novembre 2023. Au vu de ce qui précède, la demande de restitution doit être confirmée.</w:t>
      </w:r>
    </w:p>
    <w:p>
      <w:r>
        <w:rPr>
          <w:b/>
        </w:rPr>
        <w:t>E. 6</w:t>
      </w:r>
    </w:p>
    <w:p>
      <w:r>
        <w:t>Dans ces circonstances, la décision de l'intimée est conforme au droit et le recours, mal fondé, sera rejeté.</w:t>
      </w:r>
    </w:p>
    <w:p>
      <w:r>
        <w:rPr>
          <w:b/>
        </w:rPr>
        <w:t>E. 7</w:t>
      </w:r>
    </w:p>
    <w:p>
      <w:r>
        <w:t>La procédure est gratuite (art. 89H al. 1 LPA et vu l'art. 61 let. fbis LPGA).</w:t>
      </w:r>
    </w:p>
    <w:p>
      <w:r>
        <w:t>A/8/2025 - 13/13 -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