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ATAS/508/2024 vom 26. Juni 2024</w:t>
      </w:r>
    </w:p>
    <w:p>
      <w:r>
        <w:t>GE Cour de justice, 2024-06-26, FR</w:t>
      </w:r>
    </w:p>
    <w:p>
      <w:r>
        <w:rPr>
          <w:b/>
        </w:rPr>
        <w:t xml:space="preserve">Quelle: </w:t>
      </w:r>
      <w:r>
        <w:t>https://mcp.opencaselaw.ch/entscheid/ge_gerichte_ATAS_508_2024</w:t>
      </w:r>
    </w:p>
    <w:p>
      <w:r>
        <w:t>FR: GE_GERICHTE ATAS/508/2024 du 26 juin 2024</w:t>
      </w:r>
    </w:p>
    <w:p>
      <w:r>
        <w:t>IT: GE_GERICHTE ATAS/508/2024 del 26 giugno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w:t>
      </w:r>
    </w:p>
    <w:p>
      <w:r>
        <w:t>A/1946/2023 - 10/26 -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Le 1er janvier 2021 est entrée en vigueur la modification du 21 juin 2019 de la LPGA. Dans la mesure où le recours a été interjeté postérieurement au 1er janvier 2021, il est soumis au nouveau droit (cf. art. 82a LPGA).</w:t>
      </w:r>
    </w:p>
    <w:p>
      <w:r>
        <w:rPr>
          <w:b/>
        </w:rPr>
        <w:t>E. 3</w:t>
      </w:r>
    </w:p>
    <w:p>
      <w:r>
        <w:t>Le délai de recours est de trente jours (art. 60 al. 1 LPGA ; art. 43 LPCC ; art. 62 al. 1 let. a de la loi sur la procédure administrative du 12 septembre 1985 [LPA- GE - E 5 10] et art. 43 LPCC). 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4</w:t>
      </w:r>
    </w:p>
    <w:p>
      <w:r>
        <w:t>Le litige porte sur la question de savoir si la recourante, en tant que veuve du bénéficiaire des prestations complémentaires, peut être tenue au remboursement des prestations éventuellement versées à tort. Le cas échéant, de déterminer si les montants retenus par l’intimé à titre de fortune immobilière et de revenu de celle- ci dans le calcul des prestations complémentaires l’ont été à juste titre.</w:t>
      </w:r>
    </w:p>
    <w:p>
      <w:r>
        <w:rPr>
          <w:b/>
        </w:rPr>
        <w:t>E. 5.1</w:t>
      </w:r>
    </w:p>
    <w:p>
      <w:r>
        <w:t>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w:t>
      </w:r>
    </w:p>
    <w:p>
      <w:r>
        <w:rPr>
          <w:b/>
        </w:rPr>
        <w:t>E. 5.2</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w:t>
      </w:r>
    </w:p>
    <w:p>
      <w:r>
        <w:t>A/1946/2023 - 11/26 -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5.3</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5.4</w:t>
      </w:r>
    </w:p>
    <w:p>
      <w:r>
        <w:t>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5.5</w:t>
      </w:r>
    </w:p>
    <w:p>
      <w:r>
        <w:t>En vertu de l'art. 25 al. 2 1ère phrase LPGA, le droit de demander la restitution s'éteint trois ans après le moment où l'institution d’assurance a eu connaissance du fait, mais au plus tard cinq ans après le versement de la prestation. Étant donné que, d'un point de vue temporel, les règles de droit déterminantes sont en principe celles qui s'appliquent lors de l'accomplissement des faits entraînant des conséquences juridiques et que, par ailleurs, le juge se base, en principe, sur les faits survenus jusqu'au moment où la décision litigieuse a été rendue (arrêt du Tribunal fédéral 9C_193/2021 du 31 mars 2022 consid. 2.2 et les références), c’est l’art. 25 al. 2 1ère phrase LPGA dans sa teneur en vigueur à compter du 1er janvier 2021 qui est applicable dans le cas présent. Les délais de l’art. 25 al. 2 LPGA sont des délais (relatif et absolu) de péremption, qui doivent être examinés d'office (ATF 146 V 217 consid. 2.1 et les</w:t>
      </w:r>
    </w:p>
    <w:p>
      <w:r>
        <w:t>A/1946/2023 - 12/26 - références;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5.6</w:t>
      </w:r>
    </w:p>
    <w:p>
      <w:r>
        <w:t>En vertu de l'art. 25 al. 2 2ème phrase LPGA,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6.1</w:t>
      </w:r>
    </w:p>
    <w:p>
      <w:r>
        <w:t>Dans le cas d’espèce, le SPC a appliqué le délai de sept ans, correspondant à la prescription pénale. La Cour de céans commencera dès lors par examiner si l’intimé pouvait revenir sur les prestations accordées à compter du 1er mars 2016.</w:t>
      </w:r>
    </w:p>
    <w:p>
      <w:r>
        <w:rPr>
          <w:b/>
        </w:rPr>
        <w:t>E. 6.2</w:t>
      </w:r>
    </w:p>
    <w:p>
      <w:r>
        <w:t>L’art. 148a du Code pénal suisse du 21 décembre 1937 (CP - RS 311.0), entré en vigueur le 1er octobre 2016, sanctionne celui qui, par des déclarations fausses ou incomplètes, en passant des faits sous silence ou de toute autre façon, induit une personne en erreur ou la conforte dans son erreur, et obtient de la sorte pour</w:t>
      </w:r>
    </w:p>
    <w:p>
      <w:r>
        <w:t>A/1946/2023 - 13/26 - lui-même ou pour un tiers des prestations indues d’une assurance sociale ou de l’aide sociale. L'art. 148a CP constitue une clause générale par rapport à l'escroquerie au sens de l'art. 146 CP, qui est aussi susceptible de punir l'obtention illicite de prestations sociales (Message du Conseil fédéral du 26 juin 2013 concernant une modification du code pénal et du code pénal militaire ; FF 2013 5373, ch. 2.1.6 ad art. 148a, p. 5431). L'art. 148a CP trouve application lorsque l'élément d'astuce, typique de l'escroquerie, n'est pas réalisé.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2.1.2 et les références).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w:t>
      </w:r>
    </w:p>
    <w:p>
      <w:r>
        <w:rPr>
          <w:b/>
        </w:rPr>
        <w:t>E. 6.3</w:t>
      </w:r>
    </w:p>
    <w:p>
      <w:r>
        <w:t>Selon l’art. 31 LPC, est puni, à moins qu’il ne s’agisse d’un crime ou d’un délit frappé d’une peine plus élevée par le code pénal, d’une peine pécuniaire n’excédant pas 180 jours-amende (al.1) : a. celui qui, par des indications fausses ou incomplètes, ou de toute autre manière, obtient d’un canton ou d’une institution d’utilité publique, pour lui-même ou pour autrui, l’octroi indu d’une prestation au sens de la présente loi ;</w:t>
      </w:r>
    </w:p>
    <w:p>
      <w:r>
        <w:t>A/1946/2023 - 14/26 - b. celui qui, par des indications fausses ou incomplètes, ou de toute autre manière, obtient sans droit une subvention au sens de la présente loi ; c. celui qui n’observe pas l’obligation de garder le secret ou abuse, dans l’application de la présente loi, de sa fonction ou tire avantage de sa situation professionnelle au détriment de tiers ou pour son propre profit ; d. celui qui manque à son obligation de communiquer (art. 31, al. 1, LPGA).</w:t>
      </w:r>
    </w:p>
    <w:p>
      <w:r>
        <w:t>2. Est puni d’une amende de CHF 5'000.- au plus, à moins que les faits ne relèvent de l’al. 1 : a. celui qui, en violation de son obligation, donne sciemment des renseignements inexacts ou refuse d’en donner ; b. celui qui s’oppose à un contrôle ordonné par l’autorité compétente ou rend ce contrôle impossible de toute autre manière.</w:t>
      </w:r>
    </w:p>
    <w:p>
      <w:r>
        <w:rPr>
          <w:b/>
        </w:rPr>
        <w:t>E. 6.4</w:t>
      </w:r>
    </w:p>
    <w:p>
      <w:r>
        <w:t>En vertu de l'art. 31 LPGA, intitulé avis obligatoire en cas de modification des circonstances, l'ayant droit, ses proches ou les tiers auxquels une prestation est versée sont tenus de communiquer à l'assureur ou, selon les cas, à l'organe compétent toute modification importante des circonstances déterminantes pour l'octroi d'une prestation (al. 1).</w:t>
      </w:r>
    </w:p>
    <w:p>
      <w:r>
        <w:rPr>
          <w:b/>
        </w:rPr>
        <w:t>E. 6.5</w:t>
      </w:r>
    </w:p>
    <w:p>
      <w:r>
        <w:t>L'art. 24 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rPr>
          <w:b/>
        </w:rPr>
        <w:t>E. 6.6</w:t>
      </w:r>
    </w:p>
    <w:p>
      <w:r>
        <w:t>Par le biais des dispositions pénales figurant dans les diverses lois d'assurances sociales (voir également l'art. 87 al. 5 LAVS ainsi que les art. 70 LAI, 25 LAPG et 23 LAFam,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w:t>
      </w:r>
    </w:p>
    <w:p>
      <w:r>
        <w:t>A/1946/2023 - 15/26 - qui dépassent la simple violation du devoir d'annoncer, sans quoi les dispositions pénales spéciales s'avéreraient superflues si on pouvait qualifier d'escroquerie une simple violation du devoir d'annoncer (ATF 140 IV 206 consid. 6.3.2.2 ; ATF 140 IV 11 consid. 2.4.6 et les références</w:t>
      </w:r>
    </w:p>
    <w:p>
      <w:r>
        <w:rPr>
          <w:b/>
        </w:rPr>
        <w:t>E. 6.7</w:t>
      </w:r>
    </w:p>
    <w:p>
      <w:r>
        <w:t>Aux termes de l'art. 12 al. 2 CP, agit intentionnellement quiconque commet un crime ou un délit avec conscience et volonté. L’auteur agit déjà intentionnellement lorsqu’il tient pour possible la réalisation de l’infraction et l’accepte au cas où celle-ci se produirait. L'élément subjectif est déjà réalisé lorsque l'auteur envisage le résultat dommageable, mais agit néanmoins, même s'il ne le souhaite pas, parce qu'il s'en accommode pour le cas où il se produirait (ATF 138 V 74 consid. 8.2 et 8.4.1 ; arrêt du Tribunal fédéral 6B_283/2022 du 14 septembre 2022 consid. 2.2 et les références). Dit d'une autre façon, il y a dol lorsque l'auteur a envisagé, en prenant sa décision, un résultat illicite qui lui était indifférent ou même qu'il jugeait indésirable, mais qui constituait la conséquence nécessaire ou le moyen de parvenir au but qu'il recherchait (ATF 119 IV 193).</w:t>
      </w:r>
    </w:p>
    <w:p>
      <w:r>
        <w:rPr>
          <w:b/>
        </w:rPr>
        <w:t>E. 6.8</w:t>
      </w:r>
    </w:p>
    <w:p>
      <w:r>
        <w:t>L'art. 31 LPC - également applicable en matière de prestations complémentaires cantonales conformément à l’art. 1A LPCC - est subsidiaire aux crimes et délits de droit commun (arrêt du Tribunal fédéral 6S.288/2000 du 28 septembre 2000 consid. 2). Quant à l’art. 148a CP, qui vise l’obtention illicite de prestations d’une assurance sociale ou de l’aide sociale, il prévoit une peine privative de liberté d’un an au plus ou d’une peine pécuniaire (al. 1). Dans les cas de peu de gravité, la peine est l’amende (al. 2).</w:t>
      </w:r>
    </w:p>
    <w:p>
      <w:r>
        <w:rPr>
          <w:b/>
        </w:rPr>
        <w:t>E. 6.9</w:t>
      </w:r>
    </w:p>
    <w:p>
      <w:r>
        <w:t>Selon l'art. 97 al. 1 CP, l'action pénale se prescrit par 30 ans si l'infraction était passible d'une peine privative de liberté à vie, par quinze ans si elle était passible d'une peine privative de liberté de plus de trois ans, et de sept ans si elle était passible d'une autre peine. Le délai de prescription de l'action pénale pour une infraction telle que celle décrite aux art. 31 LPC et 148a CP est donc de sept ans.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Dans le domaine des assurances sociales notamment, la procédure est régie par le principe inquisitoire, selon lequel il appartient au juge d'établir d'office l'ensemble des faits déterminants pour la solution du litige et d'administrer, le cas échéant, les</w:t>
      </w:r>
    </w:p>
    <w:p>
      <w:r>
        <w:t>A/1946/2023 - 16/26 -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9.1</w:t>
      </w:r>
    </w:p>
    <w:p>
      <w:r>
        <w:t>En l’espèce, l’intimé a réclamé la restitution de CHF 56'344.- correspondant à CHF 12.- de prestations complémentaires fédérales et CHF 56'332.- de prestations complémentaires cantonales pour la période du 1er mars 2016 au 28 février 2022. Le SPC reproche en particulier à la recourante de ne pas avoir annoncé l’existence d’un bien immobilier en Grèce avant le décès de son mari, bénéficiaire des prestations complémentaires. La recourante allègue que le bien avait été annoncé et que ce dernier n’a aucune valeur. À cela s’ajoute que le bénéficiaire ayant été feu son époux, elle n’est pas concernée par la demande de restitution.</w:t>
      </w:r>
    </w:p>
    <w:p>
      <w:r>
        <w:rPr>
          <w:b/>
        </w:rPr>
        <w:t>E. 9.2</w:t>
      </w:r>
    </w:p>
    <w:p>
      <w:r>
        <w:t>La chambre de céans constate que, sur le plan objectif, les éléments constitutifs des infractions réprimées aux art. 31 al. 1 let. d LPC et, dès le 1er janvier 2016, 148a CP, toutes deux soumises au délai de prescription de sept ans, sont remplis. En effet, bien que la recourante ait produit une déclaration datée du 3 octobre 2016 annonçant le bien en Grèce, force est de constater que ce document ne fait pas partie du dossier de l’intimé. Ce dernier contient au contraire la demande de prestations d’avril 2004 dans laquelle le bénéficiaire a répondu qu’il n’avait pas de bien immobilier. En date du 22 décembre 2011, le bénéficiaire a signé une déclaration à l’attention du SPC indiquant ne posséder aucun bien immobilier en Suisse ou à l’étranger, dans le formulaire de révision du 5 janvier 2012, le bénéficiaire et la recourante ont indiqué ne pas avoir de bien immobilier. Dans le cadre de la révision lancée en 2016, le bénéficiaire et la recourante ont complété une déclaration relative aux biens immobiliers en indiquant ne pas posséder de bien immobilier. Il sera relevé que la déclaration du bénéficiaire a été envoyée à deux reprises au SPC, dont l’une par son représentant de l’époque, toutes deux attestant de l’absence de bien immobilier.</w:t>
      </w:r>
    </w:p>
    <w:p>
      <w:r>
        <w:t>A/1946/2023 - 17/26 - Il est dès lors manifeste que le bénéficiaire et la recourante ont répondu de façon incorrecte sur des éléments de fortune, influençant le calcul des prestations, ce qui ne pouvait pas leur échapper vu la nécessité de remplir des déclarations spécifiques sur l’existence éventuelle de bien immobilier. Il y a donc manifestement eu infraction à l’art. 31 LPC et à l’art. 148a CP, à tout le moins par dol éventuel. C’est donc à bon droit que l’intimé a fait rétroagir sa décision de restitution au 1er mars 2016, étant précisé pour le surplus que la décision de restitution a été notifiée dans l’année après la découverte de l’existence du bien immobilier.</w:t>
      </w:r>
    </w:p>
    <w:p>
      <w:r>
        <w:rPr>
          <w:b/>
        </w:rPr>
        <w:t>E. 10.1</w:t>
      </w:r>
    </w:p>
    <w:p>
      <w:r>
        <w:t>Par ailleurs, la recourante a allégué ne pas être concernée par le litige puisque le bénéficiaire des prestations réclamées était feu son époux, ce qui est contesté par l’intimé qui fait valoir sa qualité d’héritière.</w:t>
      </w:r>
    </w:p>
    <w:p>
      <w:r>
        <w:rPr>
          <w:b/>
        </w:rPr>
        <w:t>E. 10.2</w:t>
      </w:r>
    </w:p>
    <w:p>
      <w:r>
        <w:t>L’obligation de restituer les prestations indûment versées à un assuré défunt constitue une dette de la succession et passe, sauf répudiation de la succession, aux héritiers de ce dernier (ATF 105 V 82 consid. 3, 96 V 73 consid. 1), même lorsque l'administration n'a pas fait valoir la créance en restitution du vivant de la personne tenue à restitution (ATF 129 V 70 consid. 3 et l'arrêt cité). En revanche, les héritiers potentiels qui répudient la succession perdent la qualité d’héritiers et, partant, ne doivent pas la restitution (arrêt du TF P 17/02 du 2 décembre 2002 consid. 2.1). Conformément à l’art. 603 al. 1 CC, les héritiers sont solidairement responsables des dettes du de cujus. La solidarité des héritiers répond aux conditions des art. 143 ss de la loi fédérale du 30 mars 1911, complétant le Code civil suisse (CO, Code des obligations - RS 220), dont il ressort que chaque héritier peut être recherché individuellement pour les dettes de la succession, non pas seulement pour sa quote-part, mais pour l’intégralité de la dette. Ainsi, selon la jurisprudence et les directives de l'office fédéral des assurances sociales concernant les prestations complémentaires à l'AVS et à l'AI (ci-après : DPC), lorsque la personne tenue à restitution est décédée, il n’est pas nécessaire que la décision en restitution soit adressée personnellement à chaque héritier, mais il suffit qu’elle soit adressée à au moins un héritier connu (ATF 129 V 70 consid. 3 ; ch. 4762.04 des DPC). Aux termes de l’art. 462 al. 1 ch. 1 CC, le conjoint survivant a droit en concours avec les descendants, à la moitié de la succession.</w:t>
      </w:r>
    </w:p>
    <w:p>
      <w:r>
        <w:rPr>
          <w:b/>
        </w:rPr>
        <w:t>E. 10.3</w:t>
      </w:r>
    </w:p>
    <w:p>
      <w:r>
        <w:t>L’argumentation de la recourante ne saurait être suivie. Peu importe sur ce point que la recourante ait hérité ou non du bien sis en Grèce, ses déclarations sur ce point ayant été fluctuantes. En effet, conformément au droit suisse, en tant que conjointe elle fait partie des héritiers de sorte que, à défaut de répudiation, elle peut être recherchée pour les dettes de son défunt mari dont fait partie la</w:t>
      </w:r>
    </w:p>
    <w:p>
      <w:r>
        <w:t>A/1946/2023 - 18/26 - restitution de prestations indûment versées conformément aux principes rappelés ci-dessus.</w:t>
      </w:r>
    </w:p>
    <w:p>
      <w:r>
        <w:rPr>
          <w:b/>
        </w:rPr>
        <w:t>E. 11.1</w:t>
      </w:r>
    </w:p>
    <w:p>
      <w:r>
        <w:t>Des modifications législatives et réglementaires sont entrées en vigueur au 1er janvier 2021 dans le cadre de la Réforme des PC (LPC, modification du 22 mars 2019, RO 2020 585, FF 2016 7249 ; OPC-AVS/AI [ordonnance du</w:t>
      </w:r>
    </w:p>
    <w:p>
      <w:r>
        <w:rPr>
          <w:b/>
        </w:rPr>
        <w:t>E. 11.2</w:t>
      </w:r>
    </w:p>
    <w:p>
      <w:r>
        <w:t>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w:t>
      </w:r>
    </w:p>
    <w:p>
      <w:r>
        <w:rPr>
          <w:b/>
        </w:rPr>
        <w:t>E. 11.3</w:t>
      </w:r>
    </w:p>
    <w:p>
      <w:r>
        <w:t>D'après le Message du Conseil fédéral relatif à la modification de la loi sur les prestations complémentaires [Réforme des PC] du 16 septembre 2016, « [p]lusieurs mesures proposées par la présente réforme peuvent influencer le calcul de la PC et engendrer pour certaines personnes une réduction du montant des PC ou une perte du droit aux PC. Pour permettre aux personnes concernées de s’adapter à la nouvelle situation financière, les mesures suivantes leur seront applicables trois ans seulement après l’entrée en vigueur de la réforme : adaptation du montant minimal de la PC (art. 9 al. 1) ; répartition de la fortune pour les couples dont un des conjoints vit dans un home ou dans un hôpital (art. 9 al. 3 let. b et c) ; droit des cantons de tenir compte dans le calcul de la PC de la prime effective si elle est d’un montant inférieur à la prime moyenne (art. 10 al. 3 let. d) ; abaissement du montant des franchises sur la fortune totale (art. 11 al. 1 let. c) ; prise en compte intégrale du revenu d’une activité lucrative des conjoints qui n’ont pas droit aux PC (art. 11 al. 1 let. a et art. 11a al. 1). Le nouveau droit s’applique immédiatement aux personnes qui acquièrent le droit aux PC après l’entrée en vigueur de la réforme » (FF 2016 7249 p. 7326). Ainsi, un délai transitoire de trois ans est prévu pour les personnes dont le droit aux prestations est né avant la réforme. Ces bénéficiaires conservent leurs droits acquis selon l'ancien droit durant ce délai, si la réforme entraîne pour eux, dans l'ensemble, une diminution ou une suppression des prestations (cf. arrêt du Tribunal fédéral 9C_161/2022 du 7 juillet 2022 consid. 3.1 ; arrêt de la Cour des assurances sociales du Tribunal cantonal du canton de Vaud PC 41/22 - 14/2023 du 3 avril 2023 consid. 3b).</w:t>
      </w:r>
    </w:p>
    <w:p>
      <w:r>
        <w:rPr>
          <w:b/>
        </w:rPr>
        <w:t>E. 11.4</w:t>
      </w:r>
    </w:p>
    <w:p>
      <w:r>
        <w:t>La Circulaire concernant les dispositions transitoires de la réforme des PC établie par l'Office fédéral des assurances sociales (ci-après : OFAS), valable dès le 1er janvier 2021 (ci-après : C-R PC), indique que :</w:t>
      </w:r>
    </w:p>
    <w:p>
      <w:r>
        <w:t>A/1946/2023 - 19/26 - ‒ « La réforme des PC entre en vigueur le 1er janvier 2021. Conformément aux dispositions transitoires, l’ancien droit reste applicable pendant trois ans aux bénéficiaires PC pour lesquels la réforme entraîne une réduction des prestations » (ch. 1101) ; ‒ Si le calcul de la PC correspondant au nouveau droit entraîne une diminution de la PC annuelle ou la perte du droit à la PC, le calcul de la PC continue d’être établi selon l’ancien droit jusqu’au 31 décembre 2023 au plus tard (ch. 1102) ; ‒ Si le calcul de la PC correspondant au nouveau droit entraîne une augmentation de la PC annuelle ou si le montant de la PC annuelle reste le même, le calcul de la PC est établi selon le nouveau droit à partir du 1er janvier 2021 (ch. 1103) ; ‒ Les dispositions du droit transitoire ne s'appliquent qu'aux cas en cours. À partir du 1er janvier 2021, les nouveaux cas sont exclusivement régis par le nouveau droit (ch. 1301) ; ‒ Sont considérés comme cas en cours ceux pour lesquels le droit à la PC a pris naissance avant le 1er janvier 2021 (ch. 1302) ; ‒ Afin de déterminer si l’ancien ou le nouveau droit est plus favorable aux cas en cours au 1er janvier 2021, il faut dresser une comparaison en établissant un calcul selon l’ancien droit et un autre selon le nouveau droit (ch. 2101) ; ‒ Pour les cas où la fortune au 1er janvier 2021 dépasse le seuil prévu à l’art. 9a, al. 1, LPC, il n’est pas nécessaire d’établir un calcul comparatif, car les conditions d’octroi de la PC ne seraient plus remplies dans le nouveau droit. Dans cette situation, il faut continuer de calculer la PC conformément à l’ancien droit (ch. 2103) ; ‒ Durant le délai transitoire, il n’est nécessaire d’établir un calcul comparatif que pour les cas dans lesquels le calcul de la PC se fonde sur l’ancien droit. Dès que le calcul est établi selon le nouveau droit, ce dernier reste applicable pour le reste de la période transitoire. Seuls sont réservés les cas visés au ch. 3224 (recte: 3324), dernière phrase » (ch. 3104) ‒ étant relevé que le ch. 3324 prévoit que, «en cas de mariage, le calcul comparatif doit également être effectué lorsque la PC de l’un des conjoints est déjà calculée selon le nouveau droit avec pour conséquence possible, un retour à l’ancien droit ».</w:t>
      </w:r>
    </w:p>
    <w:p>
      <w:r>
        <w:rPr>
          <w:b/>
        </w:rPr>
        <w:t>E. 11.5</w:t>
      </w:r>
    </w:p>
    <w:p>
      <w:r>
        <w:t>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w:t>
      </w:r>
    </w:p>
    <w:p>
      <w:r>
        <w:t>A/1946/2023 - 20/26 - revanche s'en écarter lorsqu'elles établissent des normes qui ne sont pas conformes aux règles légales applicables (arrêt du Tribunal fédéral 8C_73/2022 du 26 janvier 2023 consid. 4.3.2 et les références).</w:t>
      </w:r>
    </w:p>
    <w:p>
      <w:r>
        <w:rPr>
          <w:b/>
        </w:rPr>
        <w:t>E. 11.6</w:t>
      </w:r>
    </w:p>
    <w:p>
      <w:r>
        <w:t>Le principe du passage au nouveau régime juridique (réforme des PC) peut être revu lorsqu'il était fondé sur un état de fait erroné, à l'inverse de cas où, après ce passage, un nouveau changement de situation surviendrait et rendrait l'ancien droit plus favorable. La C-R PC semble viser de tels cas, et tendre à éviter la possibilité d'allers-retours entre l'ancien et le nouveau droit au gré de changements de situation (arrêt de la Cour des assurances sociales du Tribunal cantonal du canton de Vaud PC 41/22 - 14/2023 précité consid. 8a).</w:t>
      </w:r>
    </w:p>
    <w:p>
      <w:r>
        <w:rPr>
          <w:b/>
        </w:rPr>
        <w:t>E. 11.7</w:t>
      </w:r>
    </w:p>
    <w:p>
      <w:r>
        <w:t>Ces dispositions transitoires fixent, d'une part, l'élément juridiquement déterminant dans le choix du droit applicable, selon que la réforme des PC entraîne ou pas une diminution ou la suppression de la PC annuelle, au 1er janvier 2021. D'autre part, elles prévoient la période durant laquelle l'ancien droit « survit », dès le 1er janvier 2021, au détriment du nouveau droit pour les bénéficiaires de PC pour lesquels la réforme des PC entraîne, dans son ensemble, une diminution ou la suppression de la PC annuelle. Dans la mesure où des bénéficiaires de PC ne peuvent pas se prévaloir de la garantie des droits acquis, au 1er janvier 2021, à teneur des dispositions transitoires, il y a lieu de leur appliquer le nouveau droit dès son entrée en vigueur, conformément au principe de l'effet immédiat de la loi. Par voie de conséquence, à défaut de tomber dans le champ d'application des dispositions transitoires, les changements de situation postérieurs au 1er janvier 2021, sous l'empire du nouveau droit, seront régis exclusivement par celui-ci.</w:t>
      </w:r>
    </w:p>
    <w:p>
      <w:r>
        <w:rPr>
          <w:b/>
        </w:rPr>
        <w:t>E. 11.8</w:t>
      </w:r>
    </w:p>
    <w:p>
      <w:r>
        <w:t>En l'espèce, la décision litigieuse porte sur la période allant du 1er mars 2016 au 28 février 2022. Le droit aux prestations a été calculé dès l’entrée en vigueur selon le nouveau droit. Cependant, comme il sera établi ci-après, le bien immobilier ayant été comptabilisé à juste titre par l’intimée dans les plans de calculs, il apparaît que c’est l’ancien droit qui doit être appliqué puisque la franchise de la fortune a été réduite par la nouvelle législation à CHF 50'000.- en lieu et place de CHF 60'000.- jusqu’au 31 décembre 2020 (art. 11 al. 1 let. c LPC et art. 11 al. 1 let. c aLPC). En effet, l’application du nouveau droit dès son entrée en vigueur reposait sur un état de fait erroné, puisque l’intimé ignorait l’existence d’un bien immobilier. Ainsi, le nouveau droit étant défavorable compte tenu de l’état de fait corrigé, les conditions permettant l’application de l’ancien droit pendant trois ans sont réalisées. C’est donc à tort que le calcul a été établi sur la base du nouveau droit à compter du 1er janvier 2021, il se justifie dès lors pour ce motif déjà de renvoyer la cause à l’intimé pour nouveaux calculs.</w:t>
      </w:r>
    </w:p>
    <w:p>
      <w:r>
        <w:t>A/1946/2023 - 21/26 - 12.</w:t>
      </w:r>
    </w:p>
    <w:p>
      <w:r>
        <w:t>12.1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12.2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12.3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 12.3.1 Il n'est pas contestable que des biens immobiliers, fussent-ils sis à l'étranger, entrent en considération pour la détermination du revenu déterminant, comme d'ailleurs l'épargne, à titre d'éléments de fortune (pris en compte de façon privilégiée), à teneur de l'art. 11 al. 1 let. c LPC. La fortune déterminante englobe en effet tous les actifs que l'assuré a effectivement reçus et dont il peut disposer sans restriction, sous réserve d'un dessaisissement de fortune (ATF 127 V 248 consid. 4a). Selon le ch. 3443.01 des DPC, font partie de la fortune d'un requérant ses biens mobiliers et immobiliers, ainsi que les droits personnels et réels lui appartenant ; l'origine des éléments de fortune est irrelevante. 12.3.2 Les immeubles ne servant pas d'habitation au requérant ou à une personne comprise dans le calcul de la prestation complémentaire sont pris en compte à leur valeur vénale actuelle, soit à la valeur du marché (ch. 3445.03 DPC). Toutefois, pour des immeubles sis à l'étranger, on peut se fonder sur une estimation établie à l'étranger s'il n'est pas raisonnablement possible de procéder à une autre estimation (ch. 3445.04 in fine DPC ; arrêt du Tribunal fédéral 9C.540/2009 du</w:t>
      </w:r>
    </w:p>
    <w:p>
      <w:r>
        <w:rPr>
          <w:b/>
        </w:rPr>
        <w:t>E. 15</w:t>
      </w:r>
    </w:p>
    <w:p>
      <w:r>
        <w:t>janvier 1971 sur les prestations complémentaires à l’assurance-vieillesse, survivants et invalidité ; RS 831.301], modification du 29 janvier 2020, RO 2020 599).</w:t>
      </w:r>
    </w:p>
    <w:p>
      <w:r>
        <w:rPr>
          <w:b/>
        </w:rPr>
        <w:t>E. 17</w:t>
      </w:r>
    </w:p>
    <w:p>
      <w:r>
        <w:t>septembre 2009). Concernant la fortune immobilière, l’art. 17 OPC-AVS/AI dispose que la fortune prise en compte doit être évaluée selon les règles de la législation sur l'impôt cantonal direct du canton du domicile (al. 1). Lorsque des immeubles ne servent</w:t>
      </w:r>
    </w:p>
    <w:p>
      <w:r>
        <w:t>A/1946/2023 - 22/26 - pas d'habitation au requérant ou à une personne comprise dans le calcul de la prestation complémentaire, ils seront pris en compte à la valeur vénale (al. 4). 12.3.3 Le montant de la valeur locative du bien immobilier qui doit en principe être pris en considération à titre de loyer lorsque celui-ci est vide – alors même qu'une location serait possible – est le loyer qui est usuellement pratiqué dans la région ou, autrement dit, un loyer conforme à la loi du marché (ch. 3433.03 des DPC ; arrêt du Tribunal fédéral 9C_751/2018). Le revenu déterminant tiré d’un immeuble est celui qui pourrait effectivement être réalisé en cas de location, c'est à dire le loyer conforme au marché (cf. SVR 1997, EL n° 38 consid. 6). En revanche, un tel loyer ne doit pas être pris en considération dans le cas où une location est effectivement difficile, voire impossible (cf. ATAS/191/2016 du 8 mars 2016 consid. 21 ; ATAS/676/2006 du 26 juillet 2006). En dehors de ces exceptions,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Selon la doctrine, ce revenu moyen hypothétique peut être estimé à 5%. Il convient cependant d’en déduire les frais d’entretien forfaitaires et les intérêts hypothécaires (cf. Erwin CARIGIET, Uwe KOCH, op.cit. p. 172). 12.3.4 Pour les immeubles sis à l'étranger, le Tribunal fédéral, appelé à trancher la question de savoir si le revenu imputable à un bénéficiaire devait être calculé en se fondant sur le taux d'intérêt moyen de l'épargne l'année précédant la demande de prestations ou sur le revenu reflétant le rendement pendant la durée de vie des bâtiments érigés sur l'immeuble (soit 5% ou 4% après déduction du forfait applicable pour l'entretien des bâtiments), a considéré que ces deux méthodes permettaient d'obtenir des valeurs approximatives proches de la valeur locative réelle d'un immeuble sis à l'étranger et qu'il était impossible de déterminer d'emblée laquelle aboutissait à la valeur la plus réaliste. Il en a conclu que c'était donc à l'autorité d'exécution, ou au juge en cas de litige, de déterminer la valeur reflétant le mieux la situation du marché (arrêt du Tribunal fédéral des assurances P 33/05 du 8 novembre 2005, consid. 3 et 4). Pour sa part,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(ATAS/752/2017 ; ATAS/131/2017 ; ATAS/237/2012 ; ATAS/43/2010 ; ATAS/732/2009 ; ATAS/399/2007 ; ATAS 1040/2005, confirmé sur recours par l’arrêt du Tribunal fédéral P 57/05 du 29 août 2006). Enfin, la chambre de céans a également considéré qu’un taux de 5% était admissible (ATAS/1127/2017 du 11 décembre 2017).</w:t>
      </w:r>
    </w:p>
    <w:p>
      <w:r>
        <w:t>A/1946/2023 - 23/26 - 12.3.5 À Genève, l’art. 24 al. 2 de loi sur l'imposition des personnes physiques du 27 septembre 2009 (LIPP – RSG D 3 08), entrée en vigueur le 1er janvier 2010, dispose notamment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(ATAS/237/2012 ; ATAS/43/2010 ; ATAS/732/2009). Le Tribunal fédéral a déjà eu l’occasion de juger que l’emploi de ce taux n'apparaissait pas comme excessif (ATF non publié P 57/05 du 29 août 2006). 12.4 En l'espèce, pour fixer la valeur du bien sis en Grèce, l’intimé s’est basé sur l’évaluation réalisée par la notaire Me C______ sur demande de la recourante et produite par cette dernière. La recourante la conteste, faisant valoir que le bien n’a aucune valeur compte tenu de sa situation juridique. 12.5 Les arguments de la recourante ne peuvent pas être suivis. En effet, dans les déclarations fiscales de 2017 à 2022, soit durant la période litigieuse, la recourante et son défunt mari ont annoncé une fortune immobilière de CHF 37'714.- qui correspondait au bien sis en Grèce, il est donc manifeste que pour eux le bien avait une valeur, ce qui est également confirmé par le testament du défunt de décembre 2021, il n’aurait pas spécifié vouloir laisser ledit bien à ses deux enfants s’il avait été convaincu qu’il n’avait pas de valeur. Par ailleurs, la recourante semble oublier que la valeur du bien sis en Grèce a été réalisée sur la base de l’évaluation effectuée par une notaire qu’elle a elle-même mandatée à Corinthe et transmise au SPC sans la moindre contestation Or, il faut rappeler que le mandat à la notaire avait pour but de donner suite aux demandes du SPC qui exigeait une estimation de la valeur vénale du bien et de sa valeur locative, étant précisé que la recourante était à cette époque secondée par une fiduciaire et le service social. En transmettant l’évaluation effectuée sans remarques, cela valait acquiescement à son contenu. À ce stade, il sied de relever que la recourante n’a contesté l’estimation que quand elle en a vu les conséquences, en particulier la demande de restitution du SPC. De son aveu, elle ne comprenait pas les enjeux et a transmis l’évaluation de la notaire de bonne foi, la valeur du bien ne l’a dès lors pas surprise à l’époque. Or, conformément à la jurisprudence du Tribunal fédéral, il convient en général d'accorder la préférence aux premières déclarations de l'assuré, faites alors qu'il ignorait peut-être les conséquences juridiques, les explications nouvelles pouvant</w:t>
      </w:r>
    </w:p>
    <w:p>
      <w:r>
        <w:t>A/1946/2023 - 24/26 - être, consciemment ou non, le fruit de réflexions ultérieures (ATF 121 V 47 consid. 2a ; ATF 115 V 143 consid. 8c) Par ailleurs, comme le relève à juste titre l’intimé, les documents fournis attestent certes d’un litige avec l’état grec mais dont l’issue est à ce jour inconnue et ne permet pas de retenir que le bien n’aurait eu aucune valeur pour le passé, ce d’autant plus qu’il a été déclaré aux autorités fiscales suisses à tout le moins de 2017 à 2022 avec une valeur de près de CHF 40'000.-, soit après les procédures réalisées en Grèce. Enfin, la Cour de céans souligne que, par décision du 1er juin 2023, le SPC a recalculé le droit aux prestations de l’intéressée à compter du 1er janvier 2023 en retenant dans son plan de calcul une fortune immobilière de CHF 20'025.25 ainsi qu’un produit relatif y relatif à hauteur de CHF 901.10. Or, ces montants correspondent au quart de la fortune immobilière de CHF 80'099.93 calculée au taux de conversion pour 2023, soit la part successorale qui devait revenir à la recourante selon le droit grec. La recourante n’a pas contesté cette décision. Il apparaît dès lors que c’est à juste titre que l’intimé s’est basé sur l’estimation établie sur demande de la recourante par Me C______. Les mêmes arguments valent pour le produit de la fortune qui a été fixé sur la base de la valeur immobilière en lui appliquant le taux de 4,5% conformément aux principes rappelés ci-dessus. Quant aux montants retenus par l’intimé, ils ont été obtenus en convertissant les valeurs en question en francs suisses, ce qui est correct : s’agissant du taux de conversion applicable pour le calcul de la fortune immobilière et de la valeur locative y relative, il y a en effet lieu d’appliquer les DPC. Or, celles-ci prévoient que, pour les rentes et pensions versées en devises d’Etats parties à la Convention de libre passage CH-UE et à l’Accord de l’AELE, le taux de conversion applicables est celui publié par la Banque centrale européenne. Bien que ces directives concernent les rentes servies, elles sont applicables mutatis mutandis aux autres éléments composant les revenus déterminants, tels que la fortune immobilière. Il y a donc lieu de confirmer les montants retenus à titre de fortune immobilière et de son produit. 13. Toutefois, comme relevé précédemment, la prise en compte de la fortune immobilière implique que l’ancien droit était plus favorable que la nouvelle législation et aurait donc dû continuer à être appliqué après le 1er janvier 2021. Il se justifie dès lors de renvoyer la cause à l’intimé pour nouveaux calculs selon l’ancien droit.</w:t>
      </w:r>
    </w:p>
    <w:p>
      <w:r>
        <w:t>A/1946/2023 - 25/26 - Par ailleurs, à l’analyse des plans de calculs, il apparaît que l’intimé a fixé l’épargne à CHF 6'168.50 à compter du 1er octobre 2016 alors que ce montant n’avait été pris en compte initialement qu’à partir du 1er janvier 2017. À cela s’ajoute que ce montant a été repris pour toute la période réclamée subséquente, ce qui laisse supposer que ce poste n’a pas été actualisé. Au vu de ce qui précède, le recours sera très partiellement admis et la décision sur opposition du 12 mai 2023 sera annulée. La cause sera renvoyée à l’intimé à charge pour ce dernier de recalculer le droit aux prestations de la recourante en appliquant l’ancien droit et en fixant l’épargne annuelle à retenir d’année en année à compter du 1er mars 2016. La recourante obtenant très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 et 89H al. 1 LPA).</w:t>
      </w:r>
    </w:p>
    <w:p>
      <w:r>
        <w:t>A/1946/2023 - 26/26 -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