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ATAS/508/2018 vom 11. Juni 2018</w:t>
      </w:r>
    </w:p>
    <w:p>
      <w:r>
        <w:t>GE Cour de justice, 2018-06-11, FR</w:t>
      </w:r>
    </w:p>
    <w:p>
      <w:r>
        <w:rPr>
          <w:b/>
        </w:rPr>
        <w:t xml:space="preserve">Quelle: </w:t>
      </w:r>
      <w:r>
        <w:t>https://mcp.opencaselaw.ch/entscheid/ge_gerichte_ATAS_508_2018</w:t>
      </w:r>
    </w:p>
    <w:p>
      <w:r>
        <w:t>FR: GE_GERICHTE ATAS/508/2018 du 11 juin 2018</w:t>
      </w:r>
    </w:p>
    <w:p>
      <w:r>
        <w:t>IT: GE_GERICHTE ATAS/508/2018 del 11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du droit à l’indemnité de la recourante de trente-et- un jours, pour chômage imputable à une faute de l’assuré.</w:t>
      </w:r>
    </w:p>
    <w:p>
      <w:r>
        <w:rPr>
          <w:b/>
        </w:rPr>
        <w:t>E. 4</w:t>
      </w:r>
    </w:p>
    <w:p>
      <w:r>
        <w:t>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w:t>
      </w:r>
    </w:p>
    <w:p>
      <w:r>
        <w:t>A/145/2018 - 8/13 - 30 LACI ; arrêt du Tribunal Fédéral 8C_446/2015 du 29 décembre 2015; ATAS/970/2017 ). b. Il est par ailleurs indifférent que le contrat de travail ait été résilié de façon immédiate et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w:t>
      </w:r>
    </w:p>
    <w:p>
      <w:r>
        <w:rPr>
          <w:b/>
        </w:rPr>
        <w:t>E. 5</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w:t>
      </w:r>
    </w:p>
    <w:p>
      <w:r>
        <w:rPr>
          <w:b/>
        </w:rPr>
        <w:t>E. 6</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En tant qu'autorité de surveillance, le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 sanction en fonction de la faute (arrêt du Tribunal fédéral 8C_425/2014 du 12 août 2014, consid. 5.1).</w:t>
      </w:r>
    </w:p>
    <w:p>
      <w:r>
        <w:t>A/145/2018 - 9/13 - Selon le Bulletin LACI/IC valable dès le 1.1.2017, le § D75 (Echelle de suspensions à l’intention des caisses de chômage) 1.B (licenciement du travailleur dans le respect des délais de congé en raison de son comportement, en particulier de la violation de ses obligations contractuelles de travail), les avertissements de l’employeur peuvent entraîner un durcissement de la sanction; leur nombre, leur intervalle, leur motif et le fait que le dernier avertissement précède ou non de peu la résiliation, sont des facteurs à prendre en compte. La faute peut être légère ou grave (L-G)). Le § D76 LACI/IC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divergences, des investigations complémentaires sont nécessaires (Bulletin LACI IC D5 ss). Selon le § D77 LACI/IC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 Et aux termes du § D78 LACI/IC les facteurs pris en compte pour la détermination du degré de la faute dans la présente échelle ne sont pas exhaustifs. Ils peuvent se combiner avec d’autres facteurs aggravants ou atténuants.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w:t>
      </w:r>
    </w:p>
    <w:p>
      <w:r>
        <w:t>A/145/2018 - 10/13 -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8</w:t>
      </w:r>
    </w:p>
    <w:p>
      <w:r>
        <w:t>a. En l’occurrence, il est établi que le recourant a été licencié, par courrier recommandé du 12 avril 2017, l'employeur ayant mis un terme au contrat de travail pour le 30 juin 2017, délai légal inclus, au vu des manquements, retards, infractions aux règlements de services répétés; l'employeur s'est expressément référé au protocole d'entretien du 28 septembre 2016, à l'avertissement (écrit) du 1er mars 2017 et au protocole d'entretien du 4 avril 2017. Le recourant ne conteste pas les motifs retenus par son employeur, ni les raisons imputables à son comportement, qui ont donné lieu, avant son licenciement, à plusieurs entretiens de services, et à tout le moins à deux avertissements sérieux, lui enjoignant de radicalement changer son comportement, ce qu'il n'a pas fait. Il explique qu'à la fin de ses rapports de travail, il était démotivé, estimant que son employeur n'avait pas tenu ses promesses de lui confier davantage de missions. Force est à cet égard de constater qu'il n'a pas rendu vraisemblable la moindre promesse qui lui aurait été faite dans ce sens. Bien que théoriquement concevable, une telle promesse eût été contraire aux termes mêmes des conditions d'engagement, conformes à l'une des catégories de statuts prévus par la convention collective de la branche, soit 900 heures (plus vacances et majorations) correspondant à environ 750 heures de travail effectif par année civile. En contresignant sa lettre d'engagement, il a expressément déclaré être conscient et d'accord : a) que son activité d'agent de sécurité auprès de B______ SA serait de 750 heures effectives au maximum par année civile, non garanties ; b) que si le quota d'heures de la lettre a) sera atteint avant la fin de l'année civile, aucune heure complémentaire ne lui serait plus planifiée, ceci sans préavis. Sa démotivation ne saurait d'ailleurs constituer une excuse à son comportement qui a manifestement contribué - sinon l'a provoqué - son renvoi, auquel il pouvait évidemment s'attendre, au vu des entretiens de services et avertissements de l'automne 2016, du début février 2017, suite auquel il ne s'était de loin pas amendé, réitérant dans le comportement inadmissible, et en tout cas incompatible avec ce que l'employeur était en droit d'attendre de lui ; ce qui avait encore conduit à un avertissement et quelques semaines plus tard à un nouvel entretien de service le 4 avril 2017, quelques jours avant son licenciement. b. Certes, interpellé par la chambre de céans lors de son audition, a-t-il indiqué, dans le contexte de sa démotivation, avoir spontanément tenté de retrouver un emploi ailleurs, indiquant que ses démarches n'avaient pas abouti. En réalité, la</w:t>
      </w:r>
    </w:p>
    <w:p>
      <w:r>
        <w:t>A/145/2018 - 11/13 - seule recherche d'emploi correspondant à cette affirmation, figurant dans les pièces qu'il a produites, est une offre spontanée du 11 avril 2017 (veille de la lettre de licenciement), auprès du service de sécurité des cinémas Pathé. Il a encore tenté de justifier sa démotivation et expliquer son comportement en alléguant que les collaborateurs frontaliers de l'entreprise, et d'une manière générale dans le domaine de la sécurité à Genève, se soutenaient entre eux, raison pour laquelle ses supérieurs auraient favorisé leurs collègues et compatriotes français pour l'attribution de missions, notamment à son détriment. Non seulement il n'a pas rendu vraisemblable son allégation, mais en tout état, son comportement au travail était à lui seul de nature à lui préférer d'autres collègues, si la possibilité existait de faire appel à des collaborateurs plus consciencieux. c. Le recourant n'a au demeurant pas contesté son congé, ni fait valoir de prétentions à l'égard de son employeur, ni par écrit, et encore moins par le biais d'une action aux prud'hommes. Il a d'ailleurs confirmé dans sa demande de prestations de chômage qu'il n'en avait pas l'intention. d. Cela étant, la décision de la caisse de chômage du 25 août 2017, confirmée sur opposition, a été rendue au terme d'une instruction conforme aux recommandations figurant dans les directives du SECO mentionnées ci-dessus. Ceci ressort notamment d'un rapport de la caisse de chômage du 23 août 2017. La caisse a en effet vérifié auprès de l'employeur les raisons pour lesquelles il avait donné son congé à l'assuré, et confronté la version de l'employé. C'est à juste titre que la caisse a dès lors retenu une faute grave dans le comportement du recourant ayant à juste titre conduit à son licenciement. Comme cela ressort des principes de jurisprudence et de doctrine rappelés précédemment, cette notion de faute grave ne doit pas nécessairement coïncider avec une faute grave au sens du droit du travail, de nature à engendrer un licenciement avec effet immédiat pour justes motifs, dès lors que le chômage fautif peut aussi résulter d'un licenciement ordinaire, respectant le délai de congé.</w:t>
      </w:r>
    </w:p>
    <w:p>
      <w:r>
        <w:rPr>
          <w:b/>
        </w:rPr>
        <w:t>E. 9</w:t>
      </w:r>
    </w:p>
    <w:p>
      <w:r>
        <w:t>Dès lors que le principe de la faute est acquis, que le degré de celle-ci doit être qualifié de grave, au sens du droit du chômage, reste à déterminer si la sanction appliquée de 31 jours de suspension du droit à l'indemnité respecte les principes qui doivent guider l'autorité, et le juge en cas de recours, pour fixer la quotité de la sanction. Comme on l'a vu, selon la jurisprudence (ATF 123 V 153) et les directives, il faut partir du milieu de la fourchette de 31 à 60 jours (art. 45, al. 3, let. c OACI), soit 45 jours, et tenir compte des facteurs aggravants, atténuants et du principe de proportionnalité. En l'espèce, l'autorité a retenu que le recourant, bien que son comportement inadéquat ait été relevé et lui ait été signifié à plusieurs reprises, malgré les avertissements reçus, ne s'était pas amendé, alors qu'un changement drastique de comportement était exigible de sa part ; il en résultait qu'il était ainsi totalement responsable de son chômage. Il faut encore préciser que la situation économique ou les difficultés financières actuelles de l'intéressé n'entrent pas en ligne de compte dans ce contexte. En fixant la quotité de la sanction à 31</w:t>
      </w:r>
    </w:p>
    <w:p>
      <w:r>
        <w:t>A/145/2018 - 12/13 - jours de suspension du droit à l'indemnité, l'autorité, tout en restant dans la fourchette des sanctions prévues en cas de faute grave, s'est cantonné à la limite inférieure de cette fourchette, cette sanction respectant pour le surplus le principe de la proportionnalité. Totalement mal fondé, le recours est donc rejeté.</w:t>
      </w:r>
    </w:p>
    <w:p>
      <w:r>
        <w:rPr>
          <w:b/>
        </w:rPr>
        <w:t>E. 10</w:t>
      </w:r>
    </w:p>
    <w:p>
      <w:r>
        <w:t>Pour le surplus la procédure est gratuite (art. 61 lettre a LPGA et 89H loi sur la procédure administrative du 12 septembre 1985 [LPA-GE - E 5 10]).</w:t>
      </w:r>
    </w:p>
    <w:p>
      <w:r>
        <w:t>A/145/2018 - 13/13 -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