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ATAS/507/2024 vom 26. Juni 2024</w:t>
      </w:r>
    </w:p>
    <w:p>
      <w:r>
        <w:t>GE Cour de justice, 2024-06-26, FR</w:t>
      </w:r>
    </w:p>
    <w:p>
      <w:r>
        <w:rPr>
          <w:b/>
        </w:rPr>
        <w:t xml:space="preserve">Quelle: </w:t>
      </w:r>
      <w:r>
        <w:t>https://mcp.opencaselaw.ch/entscheid/ge_gerichte_ATAS_507_2024</w:t>
      </w:r>
    </w:p>
    <w:p>
      <w:r>
        <w:t>FR: GE_GERICHTE ATAS/507/2024 du 26 juin 2024</w:t>
      </w:r>
    </w:p>
    <w:p>
      <w:r>
        <w:t>IT: GE_GERICHTE ATAS/507/2024 del 26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w:t>
      </w:r>
    </w:p>
    <w:p>
      <w:r>
        <w:rPr>
          <w:b/>
        </w:rPr>
        <w:t>E. 3</w:t>
      </w:r>
    </w:p>
    <w:p>
      <w:r>
        <w:t>Le litige porte sur le droit du recourant à une rente d’invalidité.</w:t>
      </w:r>
    </w:p>
    <w:p>
      <w:r>
        <w:rPr>
          <w:b/>
        </w:rPr>
        <w:t>E. 4.1</w:t>
      </w:r>
    </w:p>
    <w:p>
      <w:r>
        <w:t>A teneur de l’art. 1 la. 1 LAI, les dispositions de la LPGA s’appliquent à l’assurance-invalidité, à moins que la loi n’y déroge expressément. Le 1er juin 2021 est entrée en vigueur la modification du 21 juin 2019 de la LPGA. Dans la mesure où le recours a été interjeté postérieurement au 1er janvier 2021, il est soumis au nouveau droit (cf. art. 82a LPGA a contrario).</w:t>
      </w:r>
    </w:p>
    <w:p>
      <w:r>
        <w:t>A/51/2023 - 6/13 -</w:t>
      </w:r>
    </w:p>
    <w:p>
      <w:r>
        <w:rPr>
          <w:b/>
        </w:rPr>
        <w:t>E. 4.2</w:t>
      </w:r>
    </w:p>
    <w:p>
      <w:r>
        <w:t>Le 1er janvier 2022, sont entrées en vigueur les modifications de la LAI du 19 juin 2020 (développement continu de l’AI ; RO 2021 75).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étant précisé que le juge n’a en principe pas à prendre en considération les modifications du droit postérieures à la date déterminante de la décision administrative litigieuse (ATF 136 V 24 consid. 4.3 et la référence). En l’occurrence, la décision querellée a été rendue après le 1er janvier 2022, mais le droit à une éventuelle rente d’invalidité doit être examiné à l’issue de la formation professionnelle initiale, plus particulièrement au moment où le recourant a mis un terme à la mesure de coaching dont il bénéficiait, arguant se trouver en incapacité de travail (art. 29 al. 1 et 2 LAI), c’est-à-dire en 2020. En conséquence, ce sont les dispositions légales applicables dans leur teneur en vigueur jusqu’au 31 décembre 2021 qui seront citées.</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En vertu de l’art. 28 al. 2 LAI, l’assuré à droit à une rente entière s’il est invalide à 70% au moins, à un trois quarts de rente s’il est invalide à 60% au moins, à une demi-rente s’il est invalide à 50% au moins, ou à un quart de rente s’il est invalide à 40% au moins. Pour évaluer l’invalidité,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Le revenu sans invalidité se détermine en règle générale d’après le dernier salaire que l’assuré a obtenu avant l’atteinte à la santé, en tenant compte de l’évolution des salaires jusqu’au moment du prononcé de la décision (ATF 129 V 222 consid. 4.3.1). L’art. 26 al. 1 RAI prévoit que lorsque la personne n’a pas pu acquérir de connaissances professionnelles suffisantes à cause de son invalidité, le</w:t>
      </w:r>
    </w:p>
    <w:p>
      <w:r>
        <w:t>A/51/2023 - 7/13 - revenu qu’elle pourrait obtenir si elle n’était pas invalide correspond en pour-cent, selon son âge, aux fractions de la médiane, actualisée chaque année, telle qu’elle ressort de l’enquête de l’Office fédéral de la statistique sur la structure des salaires (ci-après : ESS). La disposition est applicable aux invalides de naissance ou précoces, soit des assurés qui présentent une atteinte à la santé depuis leur naissance ou leur enfance et n’ont pu, de ce fait, acquérir des connaissances professionnelles suffisantes (RCC 197 p. 538, 1969, p. 239). Entrent dans cette catégorie toutes les personnes qui, en raison de leur invalidité, n’ont pu terminer aucune formation professionnelle ainsi que les assurés qui ont commencé et même éventuellement achevé, une formation professionnelle mais qui étaient déjà invalides au début de cette formation et qui, de ce fait, ne peuvent prétendre aux mêmes possibilités de salaire qu’une personne non handicapée ayant la même formation</w:t>
      </w:r>
    </w:p>
    <w:p>
      <w:r>
        <w:rPr>
          <w:b/>
        </w:rPr>
        <w:t>E. 6.1</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(AFT 140 V 193 consid. 3.2 et les références ; 125 V 256 consid. 4 et les références). En outre, les données médicales constituent un élément utile pour déterminer quels travaux ont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t>A/51/2023 - 8/13 -</w:t>
      </w:r>
    </w:p>
    <w:p>
      <w:r>
        <w:rPr>
          <w:b/>
        </w:rPr>
        <w:t>E. 6.2</w:t>
      </w:r>
    </w:p>
    <w:p>
      <w:r>
        <w:t>Ainsi, en principe, lorsqu’au stade de la procédure administrative, une expertise confiée à un médecin indépendant est établie par un spécialiste,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 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 des doutes, même fables, subsistent quant à la fiabilité ou à la pertinence des constatations effectuées par le SMR (ATF 142 V 58 consid. 5 ; ATF 135 V 465 consid. 4.4 et 4.6 ; arrêt du Tribunal fédéral 9C_973/2011 du 4 mai 2012 consid. 3.2.1).</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peut influencer l’objectivité ou l’impartialité du médecin traitant (cf. ATF 125 V 351 consid. 3a ; ATF 122 V 157 V 157 consid. 1c et les références), elle ne justifie cependant pas en elle-même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w:t>
      </w:r>
    </w:p>
    <w:p>
      <w:r>
        <w:t>A/51/2023 - 9/13 -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jugé que la capacité de travail réellement exigible des personnes souffrant de telles affections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l’appréciation du caractère invalidant des affections psychiques et des syndromes de dépendance (ATF 145 V 215 ; 143 V 409, consid. 6 et 7 ; 141 V 281).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t>A/51/2023 - 10/13 -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10.1</w:t>
      </w:r>
    </w:p>
    <w:p>
      <w:r>
        <w:t>Dans un premier grief, le recourant fait valoir que l’expert psychiatre s’était contenté de mentionner le trouble de la personnalité dont il était atteint, sans le prendre en considération dans l’évaluation de la capacité de travail. Ce reproche doit être écarté d’emblée, l’expert psychiatre ayant précisément justifié les limitations fonctionnelles du recourant par la présence d’un trouble de la personnalité schizoïde.</w:t>
      </w:r>
    </w:p>
    <w:p>
      <w:r>
        <w:rPr>
          <w:b/>
        </w:rPr>
        <w:t>E. 10.2</w:t>
      </w:r>
    </w:p>
    <w:p>
      <w:r>
        <w:t>Il invoque ensuite les avis contraires du médecin traitant, le Dr B______, et de la plupart des autres spécialistes. Or, le Dr B______ ne mentionne aucun autre diagnostic qu’une fistule recto- abdominale – opérée sans complications – dans son seul rapport de janvier 2021. Le certificat médical délivré à l’assuré et figurant au dossier n’est pas plus parlant. Il n’a plus vu le patient depuis le 13 octobre 2020, ce qu’il a d’ailleurs confirmé à l’expert psychiatre lors d’un entretien téléphonique. Quant aux autres spécialistes, on ne discerne pas à quels médecins le recourant fait référence, dès lors que le seul autre praticien ayant eu à se prononcer est le</w:t>
      </w:r>
    </w:p>
    <w:p>
      <w:r>
        <w:t>A/51/2023 - 11/13 - Dr D______, qui a procédé à l’exérèse du kyste sacro-coccygien en janvier 2021 et qui n’a pas transmis d’autres informations à l’intimé qu’un compte-rendu opératoire.</w:t>
      </w:r>
    </w:p>
    <w:p>
      <w:r>
        <w:rPr>
          <w:b/>
        </w:rPr>
        <w:t>E. 10.3</w:t>
      </w:r>
    </w:p>
    <w:p>
      <w:r>
        <w:t>Au cas d’espèce, force est de constater que le Pr F______ a rendu son rapport sur la base d’observations approfondies et d’investigations complètes. Il a pris connaissance du (maigre) dossier médical du recourant, a sollicité des renseignements auprès de ses confrères et de la mère du recourant, et a fait procéder à un examen complémentaire en neuropsychologie. Ses conclusions sont dument motivées et il a examiné les différents indicateurs jurisprudentiels applicables à l’évaluation de la capacité de travail des personnes souffrants de troubles psychiques et/ou de dépendance. En conséquence, son rapport emporte conviction, ce d’autant que s’agissant de la toxico-dépendance du recourant, il a expliqué de manière convaincante que cette dernière était moindre que durant son apprentissage qu’il avait pourtant réussi à mener à terme. Pour contester les conclusions de l’expert, le recourant fait en réalité valoir sa propre appréciation des éléments médicaux, en mentionnant notamment de prétendus diagnostics (troubles de l’humeur ; grave dépression) non étayés médicalement, ainsi qu’une soi-disant aggravation de son état de santé durant le confinement (entre autres). Cette façon de procéder est manifestement impropre à faire naître des doutes s’agissant du caractère probant de l’expertise du Pr F______ (cf. jurisprudence mentionnée ci-dessus consid. 6.5). Il suit de ce qui précède qu’il convient de se fonder sur les conclusions de l’expertise précitée et reconnaître que la capacité de travail du recourant est entière dans une activité adaptée précisée par le médecin du SMR, conformément à son rôle (cf. jurisprudence citée ci-dessus consid. 6.3). Une baisse de rendement hypothétique de 20 à 30% a également été mentionnée par ce médecin. On ajoutera encore qu’au vu de l’attitude du recourant, qui se complaît dans l’oisiveté, un effort de volonté est à l’évidence exigible.</w:t>
      </w:r>
    </w:p>
    <w:p>
      <w:r>
        <w:rPr>
          <w:b/>
        </w:rPr>
        <w:t>E. 11.1</w:t>
      </w:r>
    </w:p>
    <w:p>
      <w:r>
        <w:t>Se fondant sur l’expertise précitée et les précisions du SMR, l’intimé a considéré que le recourant pouvait travailler à plein temps dans une activité adaptée, laquelle devait respecter les limitations fonctionnelles suivantes : activité manuelle, simple, subalterne, plus ou moins répétitive, sans contact avec une clientèle, seul ou dans une petite équipe, ne nécessitant que peu d’interactions interpersonnelles. Il a estimé que la formation apprise d’aide de cuisine était compatible avec les limitations fonctionnelles reconnues, ce que le recourant ne conteste pas, à juste titre. C’est donc sur la base du salaire statistique selon l’ESS pour un homme exerçant une activité de niveau 1 dans le domaine hébergement/restauration que le revenu avec invalidité a été fixé, une baisse de rendement (hypothétique) de 20% ayant été portée en diminution de ce revenu.</w:t>
      </w:r>
    </w:p>
    <w:p>
      <w:r>
        <w:t>A/51/2023 - 12/13 - Le recourant n’ayant jamais exercé d’activité lucrative en raison de son invalidité (qui a justifié l’octroi d’une mesure de réadaptation sous la forme d’une formation professionnelle initiale), l’intimé a fixé à juste titre le revenu sans invalidité sur la base de l’art. 26 al. 1 RAI dans sa teneur en vigueur au moment de l’éventuelle ouverture du droit aux prestations (2020).</w:t>
      </w:r>
    </w:p>
    <w:p>
      <w:r>
        <w:rPr>
          <w:b/>
        </w:rPr>
        <w:t>E. 11.2</w:t>
      </w:r>
    </w:p>
    <w:p>
      <w:r>
        <w:t>Ce faisant, l’intimé a déterminé le taux d’invalidité à l’issue de la formation professionnelle initiale à 28.25%. Même en procédant à un abattement supplémentaire sur le revenu d’invalide de 15% - particulièrement généreux compte tenu du fait que seules les limitations fonctionnelles entrent en considération pour déterminer la quotité -, le taux d’invalidité serait insuffisant (39,01%) pour ouvrir droit à une rente.</w:t>
      </w:r>
    </w:p>
    <w:p>
      <w:r>
        <w:rPr>
          <w:b/>
        </w:rPr>
        <w:t>E. 11.3</w:t>
      </w:r>
    </w:p>
    <w:p>
      <w:r>
        <w:t>Le recourant ayant clairement démontré son absence d’envie de travailler à l’heure actuelle, point n’est besoin d’entrer en matière sur l’examen de telles prestations, non sollicitées d’ailleurs. La condition de l’aptitude subjective fait effectivement défaut.</w:t>
      </w:r>
    </w:p>
    <w:p>
      <w:r>
        <w:rPr>
          <w:b/>
        </w:rPr>
        <w:t>E. 12</w:t>
      </w:r>
    </w:p>
    <w:p>
      <w:r>
        <w:t>Il suit de ce qui précède que le recours, mal fondé, doit être rejeté. La procédure n’est pas gratuite (art. 69 al. 1bis LAI). Un émolument de CHF 200.- sera mis à la charge du recourant, qui succombe.</w:t>
      </w:r>
    </w:p>
    <w:p>
      <w:r>
        <w:t>A/51/2023 - 13/13 -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