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ATAS/507/2020 vom 24. Juni 2020</w:t>
      </w:r>
    </w:p>
    <w:p>
      <w:r>
        <w:t>GE Cour de justice, 2020-06-24, FR</w:t>
      </w:r>
    </w:p>
    <w:p>
      <w:r>
        <w:rPr>
          <w:b/>
        </w:rPr>
        <w:t xml:space="preserve">Quelle: </w:t>
      </w:r>
      <w:r>
        <w:t>https://mcp.opencaselaw.ch/entscheid/ge_gerichte_ATAS_507_2020</w:t>
      </w:r>
    </w:p>
    <w:p>
      <w:r>
        <w:t>FR: GE_GERICHTE ATAS/507/2020 du 24 juin 2020</w:t>
      </w:r>
    </w:p>
    <w:p>
      <w:r>
        <w:t>IT: GE_GERICHTE ATAS/507/2020 del 24 giugno 2020</w:t>
      </w:r>
    </w:p>
    <w:p>
      <w:pPr>
        <w:pStyle w:val="Heading2"/>
      </w:pPr>
      <w:r>
        <w:t>Erwägungen</w:t>
      </w:r>
    </w:p>
    <w:p>
      <w:r>
        <w:rPr>
          <w:b/>
        </w:rPr>
        <w:t>E. 1</w:t>
      </w:r>
    </w:p>
    <w:p>
      <w:r>
        <w:t>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w:t>
      </w:r>
    </w:p>
    <w:p>
      <w:r>
        <w:t>A/4139/2018 - 7/15 -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3</w:t>
      </w:r>
    </w:p>
    <w:p>
      <w:r>
        <w:t>Le litige porte sur le montant des gains d’activité lucrative et des pensions alimentaires pris en compte par l’intimé dans les calculs ayant fondé ses demandes de restitution adressées à la recourante le 25 octobre 2018.</w:t>
      </w:r>
    </w:p>
    <w:p>
      <w:r>
        <w:rPr>
          <w:b/>
        </w:rPr>
        <w:t>E. 4</w:t>
      </w:r>
    </w:p>
    <w:p>
      <w:r>
        <w:t>a. Selon l'art. 25 al. 1 phr. 1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 L’administration est tenue de procéder à la révision d'une décision entrée en force formelle, lorsque sont découverts des faits nouveaux ou de nouveaux moyens de preuve susceptibles de conduire à une appréciation juridique différente (ATF 122 V 19 consid. 3a; ATF 122 V 134 consid. 2c; ATF 122 V 169 V consid. 4a; ATF 121 V 1 consid. 6).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Selon l'art. 3 al. 1 OPGA, l’étendue de l’obligation de restituer est fixée par une décision. b. Au niveau cantonal, l’art. 24 al. 1 phr. 1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t>A/4139/2018 - 8/15 - c. Les subsides d'assurance-maladie indûment touchés doivent être restitués en appliquant par analogie l'art. 25 LPGA. Lorsque des subsides ont été indûment touchés par un bénéficiaire des prestations du service, ce service peut en demander la restitution au nom et pour le compte du service de l'assurance-maladie [art. 33 al. 1 et 2 de la loi d'application de la loi fédérale sur l'assurance-maladie du 29 mai 1997 (LaLAMal - J 3 05)].</w:t>
      </w:r>
    </w:p>
    <w:p>
      <w:r>
        <w:rPr>
          <w:b/>
        </w:rPr>
        <w:t>E. 5</w:t>
      </w:r>
    </w:p>
    <w:p>
      <w:r>
        <w:t>En l’espèce, la décision querellée est motivée par le fait que la recourante n’a pas communiqué à l’intimé les augmentations de ses revenus et de ceux de son époux depuis 2011. Le SPC a eu connaissance en 2018 des revenus effectivement touchés par ceux-ci durant ces années, dans le cadre d’une révision du dossier. Il s’agit là d’un fait nouveau permettant la révision d’une décision. Les conditions pour exiger la restitution des prestations indûment perçues sont ainsi remplies.</w:t>
      </w:r>
    </w:p>
    <w:p>
      <w:r>
        <w:rPr>
          <w:b/>
        </w:rPr>
        <w:t>E. 6</w:t>
      </w:r>
    </w:p>
    <w:p>
      <w:r>
        <w:t>a. En vertu de l'art. 25 al. 2 1ère phrase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Les délais de l’art. 25 al. 2 LPGA sont des délais (relatif et absolu) de péremption, qui doivent être examinés d'office (ATF 133 V 579 consid. 4;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arrêt du Tribunal fédéral C_271/04 du 21 mars 2006 consid. 2.5). b.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(arrêt du Tribunal fédéral 9C_632/2012 du 10 janvier 2013 consid. 4.2). c. Il revient à l’administration, de même qu’au juge en cas de recours, d’examiner à titre préjudiciel si les circonstances correspondant à une infraction pénale sont réunies et, partant, si un délai de péremption plus long que le délai de cinq ans est applicable dans le cas particulier. Pour que le délai de péremption plus long prévu par le droit pénal s’applique, il n’est pas nécessaire que l’auteur de l’infraction ait</w:t>
      </w:r>
    </w:p>
    <w:p>
      <w:r>
        <w:t>A/4139/2018 - 9/15 - été condamné (ATF 140 IV 206 consid. 6.2; arrêt du Tribunal fédéral 8C_592/2007 du 20 août 2008 consid. 5.3 et les références). Les exigences constitutionnelles en matière d’appréciation des preuves en procédure pénale s’appliquent; une vraisemblance même prépondérante ne suffit pas (ATF 138 V 74 consid. 7; arrêt du Tribunal fédéral 8C_592/2007 du 10 août 2008 consid. 5.3). En matière de prestations complémentaires, l’art. 31 al. 1 LPC prévoit qu’à moins qu’il ne s’agisse d’un crime ou d’un délit frappé d’une peine plus élevée par le Code pénal suisse du 21décembre 1937 (CP - RS 311.0), est puni d’une peine pécuniaire n’excédant pas 180 jours-amendes notamment, selon la let. a, celui qui, par des indications fausses ou incomplètes, ou de toute autre manière, obtient d’un canton ou d’une institution d’utilité publique, pour lui-même ou pour autrui, l’octroi indu d’une prestation au sens de la LPC, et, selon la let. d, celui qui manque à son obligation de communiquer au sens de l’art. 31 al. 1 LPGA. Dans le domaine des subsides d’assurance maladie, l’art. 31 LPC a pour pendant l’art. 92 let. b LAMal,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(ATAS/688/2018 du 16 août 2018 consid. 6). Ces infractions se prescrivent par 7 ans, selon selon l’art. 97 al. 1 let. d CP. Elles supposent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Les infractions visées aux art. 31 LPC et 92 LAMal peuvent aussi être commises par un comportement passif, contraire à une obligation d'agir (art. 11 al. 1 CP). Tel est le cas, lorsque l'auteur n'empêche pas la lésion du bien juridique protégé, bien qu'il y soit tenu à raison de sa situation juridique, notamment en vertu de la loi ou d'un contrat (cf. art. 11 al. 2 let. a et b CP; ATF 136 IV 188 consid. 6.2 p. 192). Dans un arrêt 9C_171/2014 du 17 septembre 2014 (consid. 6.5.), rendu en matière de prestations complémentaires, le Tribunal fédéral a jugé que, compte tenu des informations demandées dans le formulaire de demande de prestations, lesquelles concernaient aussi bien sa situation personnelle que celles de son épouse ou de ses enfants, l’intéressé ne pouvait ignorer l'importance que revêtait la communication de toute information d'ordre économique le concernant lui ou un membre de sa famille. Dans ces conditions, force était d'admettre qu'il était conscient qu'il retenait des informations qu'il avait l'obligation de transmettre à l’administration, commettant ainsi un acte par dol éventuel. Le Tribunal fédéral a ainsi constaté que l’intéressé réalisait les conditions objectives et subjectives de l'infraction réprimée à l'art. 31 al. 1 let. d LPC et que le délai de péremption de plus longue durée prévu</w:t>
      </w:r>
    </w:p>
    <w:p>
      <w:r>
        <w:t>A/4139/2018 - 10/15 - par le droit pénal, soit en l'occurrence sept ans (art. 97 CP), était par conséquent applicable. Dans un arrêt du 6 février 2018 (ATAS/92/2018), la chambre de céans a jugé que le fait d’avoir renseigné l’autorité fiscale cantonale ne dispensait pas de renseigner le SPC.</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Les exigences constitutionnelles en matière d'appréciation des preuves en procédure pénale s'appliquent également dans le cadre d'une procédure en restitution de prestations d'assurance sociale, lorsqu'il convient d'examiner à titre préjudiciel si la créance en restitution naît d'un acte punissable pour lequel le droit pénal prévoit un délai de prescription plus long que ceux prévus à l'art. 25 al. 2, 1re phrase, LPGA (ATF 138 V 74 consid.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w:t>
      </w:r>
    </w:p>
    <w:p>
      <w:r>
        <w:rPr>
          <w:b/>
        </w:rPr>
        <w:t>E. 9</w:t>
      </w:r>
    </w:p>
    <w:p>
      <w:r>
        <w:t>a. En l'espèce, l’intimé a eu connaissance des revenus touchés effectivement par la recourante et son époux entre 2011 et 2017, le 24 mai 2018, date à laquelle il a reçu les avis de taxation du couple. En notifiant ses demandes de restitution en juin 2018, il a agi dans le délai relatif d’un an de péremption. b. Ses demandes de restitution adressées le 5 juin 2018 à la recourante portent sur la période courant du 1er juin 2011 au 31 mai 2018, soit sur sept ans. L’intimé pouvait</w:t>
      </w:r>
    </w:p>
    <w:p>
      <w:r>
        <w:t>A/4139/2018 - 11/15 - faire rétroagir sa prétention en restitution des prestations indûment versées sur cette période, car les conditions d’application des art. 31 LPC et 92 LAMal étaient réunies. En effet, la recourante ne pouvait ignorer l’obligation de contrôler attentivement les montants figurant dans les décisions de prestations et de signaler à l’intimé tout changement survenant dans sa situation financière, ni les conséquences attachées à son inobservation, en particulier l’obligation de rembourser des prestations qui, après un nouveau calcul de son droit aux prestations, s’avéreraient avoir été indûment perçues. Cela lui avait été répété maintes fois, par le biais des décisions lui ayant été notifiées et des communications importantes lui ayant été envoyées en décembre de chaque année. Cette obligation de renseigner concernait le SPC, de sorte qu’elle ne peut se prévaloir des informations qu’elle a transmises à l’AFC. La recourante ne pouvait pas ignorer que les revenus de son couple avaient augmenté dès 2011 et que l’intimé n’en tenait pas compte dans ses décisions, étant rappelé qu’elle a déclaré qu’elle en prenait connaissance avant de les transmettre à son assistante de Pro Infirmis. Elle a ainsi commis les infractions prévues par les art. 31 LPC et 92 LAMal à tout le moins par dol éventuel. C’est donc à bon droit que l’intimé a fait rétroagir sa décision de restitution sur sept ans.</w:t>
      </w:r>
    </w:p>
    <w:p>
      <w:r>
        <w:rPr>
          <w:b/>
        </w:rPr>
        <w:t>E. 10</w:t>
      </w:r>
    </w:p>
    <w:p>
      <w:r>
        <w:t>La recourante conteste le montant des frais d’obtention du revenu, en particulier les frais de transports pris en compte par l’intimé, soit CHF 66.- pour son époux, et aucun frais pour elle. Elle reproche également à l’intimé de ne pas avoir inclus dans les frais d’obtention des revenus de son époux, les frais de repas.</w:t>
      </w:r>
    </w:p>
    <w:p>
      <w:r>
        <w:rPr>
          <w:b/>
        </w:rPr>
        <w:t>E. 11</w:t>
      </w:r>
    </w:p>
    <w:p>
      <w:r>
        <w:t>a. L’art. 10 LPC détermine les dépenses reconnues et l’art. 11 LPC le revenu déterminant. Ce dernier comprend notamment les deux tiers des ressources en espèces ou en nature provenant de l’exercice d’une activité lucrative, pour autant qu’elles excèdent annuellement CHF 1'500.- pour les couples (art. 11 al. 1 let. a LPC) et les rentes, pensions et autres prestations périodiques, y compris les rentes de l’AVS et de l’AI (art. 11 al. 1 let. d LPC). Les frais d’obtention du revenu dûment établis et les cotisations assurances sociales devaient être prises en compte (art. 11a OCP-AVS/AI). Sur le plan cantonal, le revenu déterminant est calculé conformément aux règles fixées dans la LPC et ses dispositions d'exécution, moyennant quelques adaptations, en particulier l’ajout des PCF au revenu déterminant (art. 5 LPCC). Selon les Directives concernant les prestations complémentaires à l’AVS et à l’AI (DPC ; état au 1er janvier 2018), sont déterminants pour le calcul de la prestation complémentaire annuelle les revenus obtenus au cours de l’année civile précédente, ou les revenus probables convertis en revenu annuel, et l’état de la fortune au 1er janvier de l’année pour laquelle la prestation est servie. Sont réservées les exceptions (ch. 3413.01) Cette règle vaut aussi pour le cas où la prestation complémentaire annuelle doit faire l’objet d’une nouvelle fixation en cours d’année parce qu’une modification</w:t>
      </w:r>
    </w:p>
    <w:p>
      <w:r>
        <w:t>A/4139/2018 - 12/15 - intervient au sein d’une communauté de personnes qui est à la base du calcul (p. ex. un enfant cesse d’avoir droit à la prestation complémentaire) ou du fait que la rente au sens du no 3641.01 subit un changement (ch. 3413.02 à 3414.02). Pour les assurés dont la fortune et les revenus à prendre en compte peuvent être déterminés à l’aide d’une taxation fiscale, les organes des prestations complémentaires sont autorisés à retenir, comme période de calcul, celle sur laquelle se fonde la dernière taxation fiscale, si aucune modification sensible de la situation économique de l’assuré n’est intervenue entre-temps (ch. 3413.02). Du revenu brut d’une activité lucrative, il faut déduire les frais d’acquisition du revenu dûment établis (ch. 3423.03 - 3423.04) et les cotisations obligatoires dues aux assurances sociales de la Confédération (AVS, AI, APG, AC, AF, AA et PP) (ch. 3421.04). Du revenu net ainsi obtenu, il faut déduire le montant non imputable de CHF 1'500.- pour les couples. Le solde n’est pris en compte que pour les deux tiers. Le montant global déductible doit être imputé intégralement même si le revenu n’a été réalisé que pendant une partie seulement de l’année déterminante pour le calcul de la prestation complémentaire (ch. 3421.04) Pour les salariés, peuvent être déduits du revenu brut de l’activité lucrative, au titre de frais d’obtention du revenu selon le ch. 3421.04, notamment les frais supplémentaires entraînés par des repas pris à l’extérieur, les frais de transport jusqu’au lieu de travail et d’achat de vêtements professionnels (ch. 3423.03).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(ch. 3423.04). Selon l’art. 7A al. 1 RPCC, la participation financière forfaitaire des bénéficiaires au coût de l'abonnement annuel Unireso des TPG, valable sur le territoire du canton, est de CHF 66.- par année et par abonnement. b. Selon les DPC, le montant déterminant destiné à la couverture des besoins vitaux est fonction de la situation personnelle et non du genre de la prestation de base. Les montants destinés à la couverture des besoins vitaux sont différents selon qu’il s’agisse de personnes seules, de couples, d’enfants ou d’orphelins (v. annexe 1.1) (ch. 3221.01). Le montant destiné à la couverture des besoins vitaux des couples est appliqué à toutes les personnes mariées, notamment (ch. 3223.01). Le montant destiné à la couverture des besoins vitaux des couples est également déterminant lorsqu’un seul des époux a droit à une rente (ch. 3223.02).</w:t>
      </w:r>
    </w:p>
    <w:p>
      <w:r>
        <w:t>A/4139/2018 - 13/15 - Dans l’arrêt ATAS/433/2017 du 30 mai 2017, relatif au calcul du droit aux prestations complémentaires d’un assuré qui travaillait pour une institution sociale, la chambre de céans a relevé que les frais de repas avaient été pris en considération au titre du forfait retenu pour la couverture de ses besoins vitaux, au sens de l’art. 10 al. 1 let. a LPC, à savoir d’un forfait ayant pour but de couvrir les moyens d’existence journaliers nécessaires pour permettre au bénéficiaire des prestations complémentaires de faire face aux dépenses non spécifiquement mentionnées au chapitre des dépenses reconnues, comme les frais de nourriture, d’habillement, de soins corporels, de consommation d’énergie, de communication, de transport ou de loisirs (arrêt du Tribunal fédéral 9C_945/2011 du 11 juillet 2012 consid. 5.1; Michel VALTERIO, Commentaire de la loi fédérale sur les prestations complémentaires à l’AVS et à l’AI, 2015, n. 2 ad art. 10).</w:t>
      </w:r>
    </w:p>
    <w:p>
      <w:r>
        <w:rPr>
          <w:b/>
        </w:rPr>
        <w:t>E. 12</w:t>
      </w:r>
    </w:p>
    <w:p>
      <w:r>
        <w:t>a. En l’espèce, l’intimé s’est fondé sur les avis de taxation 2011 à 2017 pour déterminer les revenus de la recourante et de son époux. S’agissant des frais d’acquisition des revenus, il s’est écarté des montants figurant dans les avis de taxation et n’a retenu, à ce titre, aucun montant pour la recourante, considérant qu’elle résidait à environ 10 minutes à pied de son travail, et CHF 66.- par an pour son époux, représentant ce que celui-ci aurait dû débourser pour obtenir un abonnement de TPG, selon l’art. 7A RPCC. b. La recourante estime que l’intimé aurait dû déduire des revenus pris en compte les coûts de déplacement et les montants relatifs aux frais d’acquisition du revenu figurant dans les avis de taxation. Dans son recours, elle n’a pas motivé sa position. Lors de l’audience de comparution personnelle, elle a déclaré que son mari travaillait à Satigny dans la zone industrielle, qu’il s’y rendait en voiture et que ce serait compliqué d'utiliser les TPG le matin, car il devait prendre le tram puis le bus et encore marcher. Elle n’avait toutefois pas particulièrement discuté avec son mari des motifs pour lesquels il utilisait la voiture pour aller au travail et non le bus. Il était magasinier et commençait à travailler à 7h30 le matin. Elle croyait que c’était une obligation. Le 11 mai 2020, elle a indiqué que l'utilisation de la voiture était nécessaire pour son conjoint, car le trajet en transports publics était excessivement long, soit plus d'une heure, avec de multiples changements pouvant fréquemment engendrer des problèmes de ponctualité aux heures de pointe. c. Il convient d’abord de relever que l’intimé n’était pas lié par les frais professionnels retenus dans les avis de taxation de l’AFC, la seule présence de tels frais sur les bordereaux de taxation ne signifiant nullement qu’ils avaient été effectivement payés par la recourante ou son époux (voir arrêt du Tribunal fédéral 9C_945/2011 du 11 juillet 2012 consid. 6.3). d. En l’occurrence, il ressort des déclarations de la recourante que son époux pouvait se rendre à son travail en transports publics, ce qui était possible dans un temps raisonnable. C’est donc à juste titre que l’intimé a tenu compte de CHF 66.- par an pour son époux, représentant ce que celui-ci aurait dû débourser pour obtenir un abonnement de TPG.</w:t>
      </w:r>
    </w:p>
    <w:p>
      <w:r>
        <w:t>A/4139/2018 - 14/15 - e. La recourante n’a pas prouvé que son conjoint avait des frais supplémentaires entraînés par des repas pris à l’extérieur et ces derniers sont en principe compris dans le forfait relatif à la couverture des besoins vitaux. C’est donc également à juste titre que l’intimé n’a pas retenu de frais de repas, dans les dépenses. f. La recourante n’a enfin pas contesté qu’elle pouvait se rendre à son travail en 10 minutes de marche, de sorte qu’il n’y avait pas lieu de retenir des frais de déplacement pour elle.</w:t>
      </w:r>
    </w:p>
    <w:p>
      <w:r>
        <w:rPr>
          <w:b/>
        </w:rPr>
        <w:t>E. 13</w:t>
      </w:r>
    </w:p>
    <w:p>
      <w:r>
        <w:t>a. La recourante a encore fait valoir que l’intimé n’avait pas pris en compte les contributions d’entretien versées par son conjoint à sa fille en 2016 et 2017. b. Selon le ch. 3271.01 DPC, les prestations d’entretien fondées sur le droit de la famille qui ont été ratifiées ou fixées par une autorité ou par le juge peuvent être prises en compte comme dépenses pour autant que la preuve de leur paiement ait été apportée. Sont réservés les cas au sens des nos 3271.02 et 3271.03. c. S’agissant des contributions d’entretien, l’intimé s’est fondé sur les montants indiqués dans les avis de taxation, dont il ressort que le conjoint de la recourante n’en a pas payées en 2016 et 2017. La recourante a, dans un premier temps, fait valoir que son conjoint avait payé CHF 4'896.- à ce titre pendant ces années, sans produire de pièce l’attestant. Lors de l’audience de comparution personnelle, elle a déclaré que son conjoint avait payé des pensions alimentaires pour sa fille, mais qu’il ne le faisait plus. Enfin, le 11 mars 2019, elle a indiqué qu’il payait CHF 300.- par mois à sa fille depuis juillet 2015, en produisant une attestation signée par cette dernière. Au vu des déclarations variables de la recourante sur ce point, celle-ci n’est guère crédible. Dans ces circonstances, l’attestation signée par la fille de l’époux de la recourante ne suffit à établir, au degré de la vraisemblance prépondérante, le versement d’une pension alimentaire de CHF 300.-. La recourante doit dès lors supporter le fardeau de la preuve. Il en résulte que c’est à juste titre que l’intimé n’a pas tenu compte dans ses calculs de contributions d’entretien versées par son conjoint en 2016 et 2017.</w:t>
      </w:r>
    </w:p>
    <w:p>
      <w:r>
        <w:rPr>
          <w:b/>
        </w:rPr>
        <w:t>E. 14</w:t>
      </w:r>
    </w:p>
    <w:p>
      <w:r>
        <w:t>Infondé, le recours sera rejeté.</w:t>
      </w:r>
    </w:p>
    <w:p>
      <w:r>
        <w:rPr>
          <w:b/>
        </w:rPr>
        <w:t>E. 15</w:t>
      </w:r>
    </w:p>
    <w:p>
      <w:r>
        <w:t>Pour le surplus, la procédure est gratuite (art. 61 let. a LPGA).</w:t>
      </w:r>
    </w:p>
    <w:p>
      <w:r>
        <w:t>A/4139/2018 - 15/15 -</w:t>
      </w:r>
    </w:p>
    <w:p>
      <w:r>
        <w:t>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Catherine TAPPONNIER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