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ATAS/507/2017 vom 15. Juni 2017</w:t>
      </w:r>
    </w:p>
    <w:p>
      <w:r>
        <w:t>GE Cour de justice, 2017-06-15, FR</w:t>
      </w:r>
    </w:p>
    <w:p>
      <w:r>
        <w:rPr>
          <w:b/>
        </w:rPr>
        <w:t xml:space="preserve">Quelle: </w:t>
      </w:r>
      <w:r>
        <w:t>https://mcp.opencaselaw.ch/entscheid/ge_gerichte_ATAS_507_2017</w:t>
      </w:r>
    </w:p>
    <w:p>
      <w:r>
        <w:t>FR: GE_GERICHTE ATAS/507/2017 du 15 juin 2017</w:t>
      </w:r>
    </w:p>
    <w:p>
      <w:r>
        <w:t>IT: GE_GERICHTE ATAS/507/2017 del 15 giugno 2017</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au cas d’espèce.</w:t>
      </w:r>
    </w:p>
    <w:p>
      <w:r>
        <w:rPr>
          <w:b/>
        </w:rPr>
        <w:t>E. 3</w:t>
      </w:r>
    </w:p>
    <w:p>
      <w:r>
        <w:t>Déposé dans les forme et délai prévus par la loi, le recours est recevable (art. 56ss LPGA).</w:t>
      </w:r>
    </w:p>
    <w:p>
      <w:r>
        <w:rPr>
          <w:b/>
        </w:rPr>
        <w:t>E. 4</w:t>
      </w:r>
    </w:p>
    <w:p>
      <w:r>
        <w:t>S’agissant de l’objet du litige, il convient de rappeler que, dans la procédure juridictionnelle administrative, seuls les rapports juridiques à propos desquels l’autorité administrative compétente s’est prononcée préalablement d’une manière qui la lie, sous la forme d’une décision, peuvent en principe être examinés et jugés.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w:t>
      </w:r>
    </w:p>
    <w:p>
      <w:r>
        <w:t>A/4423/2015 - 11/17 - décision passée en force de chose jugée et les droits procéduraux des parties doivent être respectés (arrêt du Tribunal fédéral 9C_678/2011 du 4 janvier 2012 consid. 3.1). Tel que défini par le dispositif de la décision litigieuse, le litige dont est saisie la Chambre de céans porte donc, d’une part, sur la recevabilité de l’opposition à la décision du 10 octobre 2014, d’autre part, sur l’obligation du recourant de s’acquitter de cotisations sociales pour les années 2010 à 2012. On précisera que les intérêts moratoires ne font pas formellement l'objet du litige, dès lors que l'intimée ne s'est pas expressément prononcée à ce sujet dans ses décisions. Cela étant, les décisions sur les intérêts moratoires ont un caractère accessoire par rapport aux décisions de cotisations (ATF 119 V 233 consid. 4). Les intérêts sont donc indissolublement liés aux cotisations (ATF 131 V 4 consid. 3.2). Partant, le sort des intérêts moratoires suit celui de la créance principale. En l’espèce, les conditions à une éventuelle extension de l’objet du litige aux cotisations dues pour 2009 sont réalisées, étant notamment relevé que les parties ont eu l’occasion de se déterminer sur le domicile du recourant durant cette période dans le cadre de la procédure contentieuse. De plus, les décisions de l’intimée pour les années 2009 et 2010 à 2012 ont le même fondement juridique et reposent sur un état de fait identique, si bien qu’un lien de connexité matérielle existe. Partant, la Chambre de céans pourrait étendre son examen au bien-fondé de la perception de cotisations en 2009 s’il devait s’avérer que c’est à tort que l’intimée a déclaré l’opposition à la décision du 10 octobre 2014 irrecevable.</w:t>
      </w:r>
    </w:p>
    <w:p>
      <w:r>
        <w:rPr>
          <w:b/>
        </w:rPr>
        <w:t>E. 5</w:t>
      </w:r>
    </w:p>
    <w:p>
      <w:r>
        <w:t>D’après la jurisprudence, le fardeau de la preuve de la notification d’un acte et de sa date incombe en principe à l’autorité qui entend en tirer une conséquence juridique (ATF 136 V 295 consid. 5.9). En ce qui concerne plus particulièrement la notification d’une décision ou d’une communication de l’administration, elle doit au moins être établie au degré de la vraisemblance prépondérante requis en matière d’assurances sociales. Ce degré suppose en règle générale la notification d’une décision par courrier recommandé, la preuve au degré de la vraisemblance prépondérante de la notification d’une décision ne pouvant résulter d’une simple description du déroulement usuel des tâches administratives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La seule présence au dossier de la copie d’une lettre n’autorise pas à conclure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(arrêt du Tribunal fédéral 9C_433/2015 du 1er février 2016 consid. 4.1).</w:t>
      </w:r>
    </w:p>
    <w:p>
      <w:r>
        <w:t>A/4423/2015 - 12/17 - En l’espèce, faute pour l’intimée d’avoir expédié la décision du 10 octobre 2014 au recourant par courrier recommandé, elle n’est pas en mesure d’établir à quelle date elle a été reçue. Elle échoue ainsi à démontrer au degré de la vraisemblance prépondérante que l’opposition à cette décision a été formée après le délai de trente jours prévu à l’art. 52 al. 1 LPGA. Partant, c’est à tort que l’intimée a déclaré cette opposition irrecevable. L’examen sur le fond par la Chambre de céans portera dès lors également sur la perception de cotisations pour 2009.</w:t>
      </w:r>
    </w:p>
    <w:p>
      <w:r>
        <w:rPr>
          <w:b/>
        </w:rPr>
        <w:t>E. 6</w:t>
      </w:r>
    </w:p>
    <w:p>
      <w:r>
        <w:t>Selon la législation suisse, toute personne physique domiciliée en Suisse est en principe assujettie à l’AVS, conformément à l’art. 1a al. 1 LAVS. Conformément à l’art. 8 al. 1 1ère phrase LAVS, une cotisation de 7.8% est perçue sur le revenu provenant d'une activité indépendante. Aux termes de l’art. 9 LAVS, le revenu provenant d'une activité indépendante comprend tout revenu du travail autre que la rémunération pour un travail accompli dans une situation dépendante (al. 1). Pour déterminer le revenu provenant d'une activité indépendante sont déduits du revenu brut un certain nombre de postes, énumérés par cette disposition, étant précisé que le Conseil fédéral est autorisé à admettre, au besoin, d'autres déductions du revenu brut, provenant de l'exercice d'une activité lucrative indépendante (al. 2). Le revenu provenant d'une activité indépendante et le capital propre engagé dans l'entreprise sont déterminés par les autorités fiscales cantonales et communiqués aux caisses de compensation (al. 3). Les caisses de compensation ajoutent au revenu communiqué par les autorités fiscales les déductions admissibles selon le droit fiscal des cotisations dues en vertu de l'art. 8 de la loi, de l'art. 3 al. 1 de la loi fédérale du 19 juin 1959 sur l'assurance- invalidité (LAI) et de l'art. 27 al. 2 de la loi du 25 septembre 1952 sur les allocations pour perte de gain. Elles reconstituent à 100% le revenu communiqué en fonction des taux de cotisation applicables (al. 4).</w:t>
      </w:r>
    </w:p>
    <w:p>
      <w:r>
        <w:rPr>
          <w:b/>
        </w:rPr>
        <w:t>E. 7</w:t>
      </w:r>
    </w:p>
    <w:p>
      <w:r>
        <w:t>L’art. 17 du règlement sur l'assurance-vieillesse et survivants (RAVS – RS 831.101)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sur l’impôt fédéral direct - RS 642.11) et les bénéfices provenant de l'aliénation d'immeubles agricoles ou sylvicoles conformément à l'art. 18 al. 4 LIFD, à l'exception des revenus provenant de participations déclarées comme fortune commerciale selon l'art. 18 al. 2 LIFD.</w:t>
      </w:r>
    </w:p>
    <w:p>
      <w:r>
        <w:rPr>
          <w:b/>
        </w:rPr>
        <w:t>E. 8</w:t>
      </w:r>
    </w:p>
    <w:p>
      <w:r>
        <w:t>Jusqu’au 31 juillet 2014, les relations entre la Suisse et les Etats-Unis d’Amérique étaient régies par la Convention de sécurité sociale du 18 juillet 1979 entre la Confédération suisse et les Etats-Unis d’Amérique (avec protocole final), entrée en</w:t>
      </w:r>
    </w:p>
    <w:p>
      <w:r>
        <w:t>A/4423/2015 - 13/17 - vigueur le 1er novembre 1980 (RO 1980 1671 ; ci-après l’ancienne convention). Une nouvelle convention (RS 0.831.109.336.1) est entrée en vigueur le 1er août 2014. L’ancienne convention était applicable, conformément à son art. 3, aux ressortissants des Etats contractants (let. a), aux réfugiés résidant sur le territoire de l'un des Etats contractants (let. b), aux apatrides résidant sur le territoire de l'un des Etats contractants (let. c) et à d'autres personnes, telles que les membres de la famille et les survivants (let. d); Elle disposait en son art. 6 al. 3 qu’une personne exerçant une activité lucrative indépendante sur le territoire de l’un ou des deux Etats contractants et résidant sur le territoire de l’un des Etats contractants était soumise, quelle que soit sa nationalité, uniquement aux dispositions légales concernant l’assurance obligatoire de l’Etat sur le territoire duquel elle résidait.</w:t>
      </w:r>
    </w:p>
    <w:p>
      <w:r>
        <w:rPr>
          <w:b/>
        </w:rPr>
        <w:t>E. 9</w:t>
      </w:r>
    </w:p>
    <w:p>
      <w:r>
        <w:t>L'interprétation d'une convention internationale de sécurité sociale doit se fonder en premier lieu sur le texte même de cette convention. Si ce texte semble clair et que sa signification, telle qu'elle résulte du langage courant ainsi que de l'objet et du but de la convention, n’apparaît pas comme manifestement absurde, une interprétation extensive ou restrictive s'écartant du texte même n'entre en ligne de compte que si l'on peut déduire avec certitude du contexte ou de la genèse de cette disposition que l'expression de la volonté des parties à la convention est inexacte. Dans ce cadre, le Tribunal fédéral considérait que les notions auxquelles faisait appel une convention de sécurité sociale, qui déterminaient le droit à des prestations d'une institution d'assurance suisse, devaient être interprétées selon les conceptions suisses, c'est-à- dire d'après le droit national (ATF 112 V 145 consid. 2a). Notre Haute Cour a cependant relativisé cette jurisprudence eu égard à l’entrée en vigueur en juin 1990 de la Convention de Vienne du 23 mai 1969 sur le droit des traités (CV – RS 0.111). Conformément aux principes généraux d’interprétation des traités ancrés aux art. 31 à 33 de cette convention, il convient en premier lieu de rechercher la définition autonome d’une disposition conventionnelle. Ce n’est que si l’interprétation d’un traité dans les règles de l’art ne permet pas de dégager une réglementation expresse ou tacite d’une question donnée qu’il est admissible de se référer à titre subsidiaire aux notions et conceptions du droit national pour l’interprétation de la norme. Dans un cas concernant précisément la Convention de sécurité sociale entre la Suisse et les Etats-Unis, le Tribunal fédéral a ainsi retenu que l’expression « exerce une activité lucrative salariée sur le territoire » revenait à consacrer le principe de l’affiliation au lieu de travail pour la qualité d’assuré. La définition de la notion de lieu de travail ne découlait ni directement, ni indirectement de la convention, de sorte que son interprétation à l’aune des principes de la CV n’était pas concluante. Il y avait donc une lacune dans le droit international, qui pouvait être comblée en recourant au droit interne suisse (ATF 117 V 268 consid. 3b).</w:t>
      </w:r>
    </w:p>
    <w:p>
      <w:r>
        <w:t>A/4423/2015 - 14/17 - Le Tribunal fédéral a également interprété la notion de « demeurer » ressortant d’une convention de sécurité sociale conformément au droit suisse (ATF 119 V 98 consid. 6c), de même que la notion de « résidence permanente » au sens de la CV (ATF 120 V 405 consid. 4b).</w:t>
      </w:r>
    </w:p>
    <w:p>
      <w:r>
        <w:rPr>
          <w:b/>
        </w:rPr>
        <w:t>E. 10</w:t>
      </w:r>
    </w:p>
    <w:p>
      <w:r>
        <w:t>L’art. 13 LPGA dispose que le domicile d'une personne est déterminé selon les art. 23 à 26 du code civil (CC – RS 210 ; al. 1). Une personne est réputée avoir sa résidence habituelle au lieu où elle séjourne un certain temps même si la durée de ce séjour est d'emblée limitée (al. 2). L’art. 13 al. 2 LPGA crée la notion autonome de résidence habituelle, qui diffère d’une certaine manière de la notion de domicile et de la notion de résidence déterminante au sens civil. Le législateur s’est laissé guider par les définitions ancrées dans les traités internationaux, ainsi qu’à l’art. 20 de la loi sur le droit international privé (LDIP - RS 291 ; FF 1991 II 245). La résidence habituelle a été définie dans la jurisprudence comme la résidence effective dans un pays et la volonté de l’y maintenir (ATF 119 V 111 consid. 7b, ATF 112 V 164 consid. 1a). La doctrine n’a pas remis en cause cette définition (Elena SCHNEIDER, Zum Wohnsitzbegriff im Sozialversicherungsrecht, RSAS 2016 p. 638 ; Ueli KIESER, ATSG-Kommentar, 3ème éd. 2015, n. 27 ad art. 13 LPGA). D'après la jurisprudence,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(arrêts du Tribunal fédéral 9C_940/2015 du 6 juillet 2016 consid. 2.2 et 9C_345/2010 du 16 février 2011 consid. 5.1).</w:t>
      </w:r>
    </w:p>
    <w:p>
      <w:r>
        <w:rPr>
          <w:b/>
        </w:rPr>
        <w:t>E. 11</w:t>
      </w:r>
    </w:p>
    <w:p>
      <w:r>
        <w:t>En sa qualité de ressortissant suisse, le recourant tombait dans le champ d’application personnel de l’ancienne convention, laquelle prévoyait l’applicabilité de la législation de l’état de résidence en cas d’activité indépendante en Suisse, aux Etats-Unis ou dans les deux pays. C’est ici le lieu de rappeler que, selon la jurisprudence constante du Tribunal fédéral, le droit international conventionnel de la sécurité sociale prime sur le droit</w:t>
      </w:r>
    </w:p>
    <w:p>
      <w:r>
        <w:t>A/4423/2015 - 15/17 - national (ATF 119 V 171 consid. 4a et les références, arrêt du Tribunal fédéral 9C_516/2008 du 15 avril 2009 consid. 6.2). La primauté du droit international sur le droit interne découle de la nature même de la règle internationale, hiérarchiquement supérieure à toute règle interne (ATF 131 V 66 consid. 3.2). Partant, même si la procédure suivie par l’intimée, consistant à fixer le montant des cotisations sociales dues par le recourant en fonction des montants communiqués par l’AFC, paraît a priori conforme au droit interne, ses décisions devront être annulées s’il s’avère que le recourant réside aux Etats-Unis, dès lors qu’il serait alors exclusivement assujetti au droit de ce pays en vertu du droit international. En l’absence de définition autonome de la notion de « résider » dans l’ancienne convention, il y a lieu d’interpréter cette notion à l’aune du droit suisse, comme cela ressort de la jurisprudence exposée supra. En l’occurrence, il apparaît que le recourant loue depuis 2007 déjà un appartement à New York et que ses enfants y ont tous été scolarisés pendant la période litigieuse. Il est par ailleurs au bénéfice de visas pour séjourner aux Etats-Unis, dont le renouvellement annuel démontre qu’il a l’intention de continuer à résider sur sol américain. Les autres démarches administratives, telles que l’obtention de permis de conduire américains, l’enregistrement de son mariage et la conclusion d’assurances-maladies, sont également des indices de son installation aux Etats- Unis et de sa volonté d’y résider durablement. Enfin, il a indiqué dans ses déclarations fiscales américaines afférentes à la période litigieuse qu’il vivait toute l’année à New York. Le recourant est certes également copropriétaire d’un bien immobilier à Genève. Il a cependant indiqué que seule une partie de ce bien lui a été cédée par ses parents, qui l’habitent encore, ce que corrobore l’extrait du registre foncier qu’il a produit. Quant au fait qu’il soit resté enregistré comme résident genevois jusqu’en 2016, on rappellera que le dépôt des papiers constitue certes un indice de domiciliation, mais il ne saurait l'emporter sur le lieu où se focalise un maximum d'éléments concernant la vie personnelle, sociale et professionnelle de l'intéressé (ATF 136 II 405 consid. 4.3). Cet indice peut en outre être renversé par des preuves contraires (ATF 125 III 100 consid. 3). Ainsi, s’agissant de déterminer non pas son domicile mais son lieu de résidence habituelle, le fait que le recourant n’ait pas annoncé son départ aux autorités genevoises ne saurait a fortiori pas être considéré comme essentiel. Quant au fait qu’il se soit acquitté d’impôts à Genève, on ne saurait non plus y voir un élément décisif plaidant en faveur de sa résidence dans ce canton, dès lors qu’il en verse également aux Etats-Unis. Compte tenu de ces éléments, force est d’admettre que le recourant avait sa résidence habituelle à New York durant la période litigieuse. Partant, il est exclusivement soumis à la législation sociale américaine en vertu de l’art. 6 al. 3 de l’ancienne convention.</w:t>
      </w:r>
    </w:p>
    <w:p>
      <w:r>
        <w:t>A/4423/2015 - 16/17 - Les décisions de l’intimée fixant les cotisations pour 2009, 2010, 2011 et 2012 doivent ainsi être annulées et le recours être admis. Selon l’art. 61 let. g 1ère phrase LPGA, le recourant qui obtient gain de cause a droit au remboursement de ses frais et dépens dans la mesure fixée par le tribunal. Il y a gain de cause au sens de cette disposition, lorsque le tribunal annule totalement ou partiellement la décision attaquée et rend un jugement plus favorable pour la personne concernée, ou lorsqu'il renvoie la cause à l'administration pour instruction complémentaire et nouvelle décision. Conformément au principe général de procédure selon lequel les frais inutiles doivent être supportés par la partie qui les a occasionnés, il peut néanmoins se justifier dans certaines circonstances de mettre tout ou partie des frais de la cause à la charge de l'autorité qui obtient gain de cause sur le fond, lorsque celle-ci a violé le droit d’être entendu de l'assuré en cours de procédure (arrêt du Tribunal fédéral des assurances I 718/05 du 8 novembre 2006 consid. 5.2 et les références). Par analogie avec ce principe, la Chambre de céans renoncera en l’espèce à l’allocation de dépens au recourant, qui n’y conclut d’ailleurs pas. En effet, les décisions de l’intimée se fondent sur les communications de l’AFC, à laquelle le recourant a déclaré des revenus réalisés en Suisse. Il importe peu que ces déclarations soient le fruit d’une erreur de son représentant, comme il l’allègue, dès lors qu’il répond également de la faute de son mandataire (ATF 114 Ib 67 consid. 2, arrêt du Tribunal fédéral des assurances I 438/00 du 3 novembre 2000). Ce n’est en outre qu’en juillet 2016, soit plus de dix-huit mois après la première décision de l’intimée, que le recourant a pour la première fois fait valoir sa domiciliation aux Etats-Unis. Ainsi, ce sont les propres manquements du recourant qui sont à l’origine de la présente procédure et de sa durée. Les coûts engagés pour la défense de ses propres intérêts lui sont dès lors exclusivement imputables. Dans ces circonstances, il ne se justifie pas de l’indemniser pour les honoraires versés à son mandataire. Pour le surplus, la procédure est gratuite (art. 61 let. g LPGA).</w:t>
      </w:r>
    </w:p>
    <w:p>
      <w:r>
        <w:t>A/4423/2015 - 17/17 -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