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ATAS/507/2015 vom 29. Juni 2015</w:t>
      </w:r>
    </w:p>
    <w:p>
      <w:r>
        <w:t>GE Cour de justice, 2015-06-29, FR</w:t>
      </w:r>
    </w:p>
    <w:p>
      <w:r>
        <w:rPr>
          <w:b/>
        </w:rPr>
        <w:t xml:space="preserve">Quelle: </w:t>
      </w:r>
      <w:r>
        <w:t>https://mcp.opencaselaw.ch/entscheid/ge_gerichte_ATAS_507_2015</w:t>
      </w:r>
    </w:p>
    <w:p>
      <w:r>
        <w:t>FR: GE_GERICHTE ATAS/507/2015 du 29 juin 2015</w:t>
      </w:r>
    </w:p>
    <w:p>
      <w:r>
        <w:t>IT: GE_GERICHTE ATAS/507/2015 del 29 giugno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A/3166/2014 - 8/14 - entrée en vigueur (ATF 117 V 93 consid. 6b; ATF 112 V 360 consid. 4a; RAMA 1998 KV 37 p. 316 consid. 3b). En l'espèce, les faits juridiquement déterminants remontent au plus tôt à 2006. Par conséquent, le droit éventuel aux prestations doit être examiné au regard des dispositions de la LPGA et des dispositions de la LAI consécutives à la 4ème révision de cette loi, puis en fonction des modifications consécutives aux révisions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il faut déterminer quelle méthode appliquer en fonction du statut du bénéficiaire potentiel de la rente, à savoir s'il s'agit d'un assuré exerçant une activité lucrative à temps complet, d'un assuré exerçant une activité</w:t>
      </w:r>
    </w:p>
    <w:p>
      <w:r>
        <w:t>A/3166/2014 - 9/14 -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A/3166/2014 - 10/14 -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Il convient en premier lieu d’examiner quel statut reconnaître au recourant. Celui-ci se prévaut d’un statut d’actif, tandis que l’intimé considère qu’en bonne santé, il n’aurait exercé son activité professionnelle qu’à 50% et consacré le reste de son temps à la tenue du ménage. S’appuyant sur l’extrait de compte individuel AVS et le rapport de l’ex-employeur, l’intimé soutient que le recourant a travaillé à</w:t>
      </w:r>
    </w:p>
    <w:p>
      <w:r>
        <w:t>A/3166/2014 - 11/14 - temps partiel dès 1993 et notamment à 50% durant ses trois dernières années d’activité professionnelle. À titre préalable, on rappellera que le recourant, âgé de 52 ans lors du prononcé de la décision litigieuse, a terminé ses études à seize ans, à l’issue de sa scolarité obligatoire. Il a travaillé en Somalie comme réceptionniste de 1981 à 1990, puis en Suisse comme nettoyeur dès 1993 pour le compte de divers employeurs. De son union avec son épouse sont issus six enfants âgés, de 14, 15, 17, 19, 24 et 26 ans, qui habitent avec leurs parents. Les deux aînés sont financièrement indépendants et les quatre autres perçoivent des prestations de l’Hospice général. L’épouse est « femme au foyer » et dépend également de l’aide sociale. La Cour de céans constate que, selon les renseignements fournis par le dernier employeur, le recourant a travaillé en moyenne 27 h. /sem. en 2009, 25 h. /sem. en 2010, et 22,5 h. /sem. en 2011, ce qui correspond à des taux d’occupation respectifs de 64%, 60% et 54% par rapport à un plein temps de 42 heures. Pour les années antérieures, notamment de 2006 à 2008, on ignore quel a été exactement l’horaire de travail de l’intéressé, mais il résulte de l’extrait de son compte individuel AVS qu’il a bénéficié de salaires sensiblement plus élevés qu’en 2009, ce qui suggère que son taux d’occupation était plus élevé, vraisemblablement de 80% en moyenne pendant la période en question (2006 : CHF 34'436.– ; 2007 : 38'987.– ; 2008 : 36'181.– ; 2009 : 29'428.– ; 2010 : 28'802.– ; 2011 : 24'616.–). Partant, on ne saurait inférer du rapport de l’ex-employeur et de l’extrait de compte individuel AVS du recourant qu’en bonne santé, il n’aurait consacré que 50% de son temps à son activité professionnelle. Au contraire, ces documents démontrent que, bien qu’atteint dans sa santé, ce dernier a continué à exercer une activité lucrative, parfois quasiment à plein temps, ce qui atteste de sa motivation à travailler et vient étayer l’allégation qu’en bonne santé, il se serait pleinement consacré à son activité professionnelle. En outre, il ressort du rapport d’enquête du 7 juillet 2014 qu’avant la survenance de l’atteinte à la santé, c’était l’épouse du recourant qui accomplissait la plupart des travaux ménagers, ce qui tend à démontrer que le couple avait adopté une répartition des tâches « traditionnelle », dans laquelle l’un des époux exerce une activité professionnelle tandis que l’autre supporte l’essentiel des tâches ménagères. S’ajoute à ces considérations le fait que le recourant est encore relativement jeune, qu’il vit avec son épouse, sans activité lucrative, et qu’il assume l’entretien de quatre de ses enfants. Au vu de l’ensemble de ces circonstances, il paraît vraisemblable qu’en bonne santé, le recourant aurait – ainsi qu’il l’allègue – préféré travailler à plein temps afin de couvrir les dépenses du ménage. Le fait que le recourant ait déclaré à l’enquêtrice qu’il « aurait continué dans son activité habituelle au même taux que celui occupé au moment de l’atteinte à la santé, soit 50% » ne saurait justifier l’admission d’un statut mixte. En effet, c’est en</w:t>
      </w:r>
    </w:p>
    <w:p>
      <w:r>
        <w:t>A/3166/2014 - 12/14 - 2011 que le recourant a travaillé à mi-temps, de sorte que la déclaration précitée doit être comprise en ce sens que, sans une aggravation subséquente de son état de santé en 2011, il aurait continué de travailler à 50%. Selon toute vraisemblance, le recourant n’exprimait pas ce qu’il aurait souhaité faire s’il n’avait pas subi d’atteinte au bras en 1991. En tout état de cause, selon la jurisprudence, le fait qu'une personne non atteinte dans sa santé décide de travailler à temps partiel est sans influence sur le choix de la méthode d'évaluation de l'invalidité et n'entraîne donc pas l'application de la méthode mixte, sauf si cette personne consacre à ses travaux habituels le temps libre supplémentaire dont elle dispose ainsi (ATF 131 V 51 consid. 5.2 p. 54 ; arrêt du Tribunal fédéral 9C_472/2011, consid. 4). Or, dans le cas particulier, rien ne permet de considérer que le recourant aurait, par hypothèse, délibérément réduit son temps de travail afin de consacrer son temps libre aux tâches ménagères. Pour tous les motifs qui précèdent, c’est bel et bien un statut d’actif qui doit être retenu.</w:t>
      </w:r>
    </w:p>
    <w:p>
      <w:r>
        <w:rPr>
          <w:b/>
        </w:rPr>
        <w:t>E. 10</w:t>
      </w:r>
    </w:p>
    <w:p>
      <w:r>
        <w:t>Il convient à présent d’évaluer la capacité de travail du recourant et, pour ce faire, d’examiner la valeur probante des rapports versés au dossier. Se fondant sur le rapport du Dr D______ du 13 février 2014, l’intimé a retenu une capacité de travail de 100% dans une activité adaptée dès février 2014, ce que le recourant conteste, en faisant valoir que son médecin ne s’est pas exprimé sur le taux d’activité et le rendement qui pourraient être exigés de lui dans une activité adaptée. La chambre de céans constate que les rapports succincts du Dr D______ des 25 avril 2013 et 13 février 2014 ne mentionnent qu’une anamnèse sommaire, ne précisent pas les examens sur lesquels ils se fondent et ne contiennent aucune conclusion, a fortiori motivée, s’agissant du taux d’activité exigible dans une activité adaptée et de la date à partir de laquelle une telle activité pourrait être exercée. Partant, une pleine valeur probante ne saurait leur être reconnue. L’intimé a obtenu un rapport du 21 janvier 2013 établi par le Dr E______, médecin conseil de l’OCE, concluant à une pleine capacité de travail dès le 1er février 2013. À nouveau, on constate que ce rapport de quelques lignes ne mentionne ni les examens sur lesquels il se fonde, ni l’anamnèse, ni les plaintes de l’assuré. Le médecin ne motive pas ses conclusions et n’expose au demeurant pas précisément quelles sont les limitations. Il n’y a donc pas lieu de se fonder sur le rapport du Dr E______. Enfin, figure au dossier un bref avis du SMR, lequel doit être qualifié de rapport destiné à la prise d’une décision interne ne remplaçant pas un examen médical spécialisé. Ce document ne répond à l’évidence pas non plus aux réquisits jurisprudentiels relatifs à la valeur probante.</w:t>
      </w:r>
    </w:p>
    <w:p>
      <w:r>
        <w:t>A/3166/2014 - 13/14 - Par ailleurs, la chambre de céans constate que l’intimé n’a pas instruit la question d’une éventuelle évolution de la capacité de travail suite à la dernière opération subie par le recourant, à la fin du mois de mars 2014, bien que ce dernier l’ait évoquée à diverses reprises (cf. notamment rapport d’enquête ménagère du 7 juillet 2014, p. 1). En définitive, force est de constater que l’intimé a constaté les faits de manière sommaire, sur la base d’un rapport succinct, voire laconique, du Dr D______, lequel ne chiffre pas la capacité de travail dans une activité adaptée et ne renseigne pas non plus sur l’évolution de l’état de santé depuis la dernière opération chirurgicale. Dans ces circonstances, la chambre de céans n’est pas en mesure de se prononcer définitivement sur la capacité de travail, de sorte qu’un renvoi du dossier à l’intimé pour instruction complémentaire se justifie. Cette instruction sera mise en œuvre par une expertise confiée à un médecin indépendant et spécialisé en chirurgie de la main, selon la procédure prévue à l’art. 44 LPGA.</w:t>
      </w:r>
    </w:p>
    <w:p>
      <w:r>
        <w:rPr>
          <w:b/>
        </w:rPr>
        <w:t>E. 11</w:t>
      </w:r>
    </w:p>
    <w:p>
      <w:r>
        <w:t>Vu ce qui précède, le recours est partiellement admis, la décision litigieuse annulée et la cause renvoyée à l’intimé, à charge pour celui-ci de mettre en œuvre l’expertise précitée, puis de déterminer le degré d’invalidité sur la base de la méthode générale de comparaison des revenus, en tenant compte d’un statut d’actif, et de rendre une nouvelle décision portant sur le droit à des mesures d’ordre professionnel et à une rente. Le recourant, représenté par un conseil, obtient gain de cause, de sorte qu’il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A/3166/2014 - 14/14 -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