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ATAS/507/2010 vom 12. Mai 2010</w:t>
      </w:r>
    </w:p>
    <w:p>
      <w:r>
        <w:t>GE Cour de justice, 2010-05-12, FR</w:t>
      </w:r>
    </w:p>
    <w:p>
      <w:r>
        <w:rPr>
          <w:b/>
        </w:rPr>
        <w:t xml:space="preserve">Quelle: </w:t>
      </w:r>
      <w:r>
        <w:t>https://mcp.opencaselaw.ch/entscheid/ge_gerichte_ATAS_507_2010</w:t>
      </w:r>
    </w:p>
    <w:p>
      <w:r>
        <w:t>FR: GE_GERICHTE ATAS/507/2010 du 12 mai 2010</w:t>
      </w:r>
    </w:p>
    <w:p>
      <w:r>
        <w:t>IT: GE_GERICHTE ATAS/507/2010 del 12 maggio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A/729/2010 - 9/14 -</w:t>
      </w:r>
    </w:p>
    <w:p>
      <w:r>
        <w:rPr>
          <w:b/>
        </w:rPr>
        <w:t>E. 2</w:t>
      </w:r>
    </w:p>
    <w:p>
      <w:r>
        <w:t>Interjeté dans les délai et forme prescrits par la loi, le recours est recevable (art. 56 ss LPGA).</w:t>
      </w:r>
    </w:p>
    <w:p>
      <w:r>
        <w:rPr>
          <w:b/>
        </w:rPr>
        <w:t>E. 3</w:t>
      </w:r>
    </w:p>
    <w:p>
      <w:r>
        <w:t>L'objet du litige est la question de savoir si l'état de santé du recourant a subi une modification ou si les circonstances concernant la capacité de travail ont subi un changement important, justifiant la suppression, voire une augmentation de la rente d'invalidité.</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5</w:t>
      </w:r>
    </w:p>
    <w:p>
      <w:r>
        <w:t>Quant au point de départ temporel pour l’examen des modifications du degré d’invalidité lors d'une révision de la rente, le Tribunal fédéral des assurances a récemment jugé, en changeant sa jurisprudence antérieure, qu’il convient de comparer l’état de santé avec celui tel qu'il se présentait lors de la dernière décision entrée en force, pour autant que celle-ci repose sur un examen matériel du droit à la</w:t>
      </w:r>
    </w:p>
    <w:p>
      <w:r>
        <w:t>A/729/2010 - 10/14 - rente avec une constatation des faits pertinents, une appréciation des preuves et une comparaison des revenus (ATF 133 V 108 page 110 ss consid. 5). Cela est également valable pour une décision faisant suite à une révision d’office du droit à la rente, qui ne fait que constater que le droit aux prestations ne s'est pas modifié.</w:t>
      </w:r>
    </w:p>
    <w:p>
      <w:r>
        <w:rPr>
          <w:b/>
        </w:rPr>
        <w:t>E. 6</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L’art. 28 al. 1er LAI dans sa teneur en vigueur du 1er janvier 2004 jusqu’au 31 décembre 2007 (art. 28 al. 2 LAI en vigueur dès le 1er janvier 2008) dispose que l’assuré a droit à une rente entière s’il est invalide à 70% au moins, à trois quarts de rente s’il est invalide à 60% au moins, à une demi-rente s’il est invalide à 50% au moins ou à un quart de rente s’il est invalide à 40% au moins.</w:t>
      </w:r>
    </w:p>
    <w:p>
      <w:r>
        <w:rPr>
          <w:b/>
        </w:rPr>
        <w:t>E. 8</w:t>
      </w:r>
    </w:p>
    <w:p>
      <w:r>
        <w:t>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w:t>
      </w:r>
    </w:p>
    <w:p>
      <w:r>
        <w:t>A/729/2010 - 11/14 -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ss ; MORGER, Unfallmedizinische Begutachtung in der SUVA, in RSAS 32/1988 p. 332ss.).</w:t>
      </w:r>
    </w:p>
    <w:p>
      <w:r>
        <w:rPr>
          <w:b/>
        </w:rPr>
        <w:t>E. 9</w:t>
      </w:r>
    </w:p>
    <w:p>
      <w:r>
        <w:t>a) En l'espèce, tous les médecins traitants ont admis une incapacité de travail de 50%. Il ressort par ailleurs de leurs rapports que l'état de santé du recourant est resté stationnaire pour l'essentiel, voire même s'est aggravé, dans la mesure où il souffre aujourd'hui également de dorso-lombalgies depuis 2008. Ainsi, une amélioration de son état de santé ne peut être admise. b) Il convient cependant d'examiner si les conséquences de l'invalidité sur la capacité de travail se sont modifiées, notamment si le recourant a pu se recycler dans une activité professionnelle adaptée lui permettant de travailler à plus de 50%, de sorte que sa perte de gain ne lui ouvre plus le droit à une rente. Il ressort en effet du dossier que le recourant a pu travailler en tant qu'agent de sécurité pendant certains mois de l'année 2008 à des taux dépassant 50 %. Ainsi, il a effectué en août 2008 144,77 heures, ce qui correspond à un taux d'activité de 84%, sur la base d'un horaire de travail normal dans l'entreprise de 172,2 heures par mois. En août 2008, il a effectué 117,87 heures, ce qui représente un taux d'activité de 68,45 %. Enfin, il a travaillé 135,28 heures en novembre 2008, correspondant à un taux d'activité de 78,56 %. Pendant les autres mois, son taux d'activité était nettement inférieur et, sur toute la période considérée, il était à peine supérieur à 50 %. Il n'est toutefois pas établi que le recourant ait travaillé à des taux d'occupation moindres en raison des atteintes à la santé pendant les autres mois. En effet, l'employeur a attesté le 9 avril 2008 que l'horaire dépendait des besoins du service et de la disponibilité du recourant. Néanmoins, il appert, au vu du rapport du Dr H_______ du 8 janvier 2010, que l'activité actuelle n'est pas totalement adaptée. En effet, ce médecin a estimé que le recourant ne pouvait pas exercer une activité uniquement en position debout. Seulement quatre à cinq heures par jour sont exigibles dans un tel travail. Or, l'activité d'agent de sécurité s'exerce essentiellement debout. Cette restriction paraît en outre convaincante, dès lors que le Dr H_______ a constaté, dans son rapport du 24 juillet 2009, une limitation de la rotation interne des deux hanches et de la mobilité des deux genoux avec des signes en faveur d'un léger épanchement du genou droit, un rabot rotulien bilatéral prédominant à droite et des douleurs du compartiment fémoraux-tibial interne du genou droit. Il y a également lieu de tenir compte, de l'avis du Tribunal de céans, qu'en raison de l'obésité morbide du recourant, ces lésions génératives pourraient s'aggraver rapidement dans une</w:t>
      </w:r>
    </w:p>
    <w:p>
      <w:r>
        <w:t>A/729/2010 - 12/14 - activité qui s'exerce essentiellement debout. Cela étant, seule une capacité de travail de cinq heures au maximum par jour paraît exigible dans le travail en cause, ce qui correspond à un taux de 62,5 %.</w:t>
      </w:r>
    </w:p>
    <w:p>
      <w:r>
        <w:rPr>
          <w:b/>
        </w:rPr>
        <w:t>E. 10</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ce qui concerne la comparaison de salaires lors d'une révision de rente, il y a lieu de l'effectuer au regard de la situation existant au moment de la révision. Les revenus avec et sans invalidité doivent être déterminés par rapport à un même moment et les modifications de ces revenus, susceptibles d'influencer le droit à la rente et survenues jusqu'au moment où la décision est rendue, sont à prendre en compte (ATF non publié I 93/06 consid. 6.1; 129 V 222 consid. 4; 128 V 174).</w:t>
      </w:r>
    </w:p>
    <w:p>
      <w:r>
        <w:rPr>
          <w:b/>
        </w:rPr>
        <w:t>E. 11</w:t>
      </w:r>
    </w:p>
    <w:p>
      <w:r>
        <w:t>En l'espèce, l'intimé a déterminé le revenu hypothétique sans invalidité à 62'642 fr. Le recourant met en cause ce calcul, estimant qu'il y a lieu de se fonder sur les salaires statistiques. Toutefois, cette question peut rester ouverte au vu de ce qui suit. Pour le revenu avec invalidité dans le poste actuel d'agent de sécurité, il y a lieu de retenir que le salaire horaire du recourant est de 22 fr. 45 en 2009, selon les déclarations de l'employeur dans le questionnaire pour employeur qu'il a signé le 20 avril 2009. Partant, le salaire mensuel à 100 % pour 172,20 heures par mois s'élève à 3'865 fr. 90. Multiplié par 12, ce salaire est de 46'390 fr. 70 par an. Ainsi, au taux de 62,5 %, correspondant à la capacité de travail du recourant dans ce poste, le salaire annuel est de 28'994 fr. 20. Partant, la perte de gain s'établit à 53,7 %. En prenant en considération un salaire annuel sans invalidité de 66'846 fr. 48, conformément aux allégations du recourant, la perte de gain s'élève à 56,62%. Ces degrés d'invalidité ouvrent le droit à une demi-rente. Il suit de ce qui précède que l’état de fait ne permettait pas à l’intimé de revoir les prestations octroyées, sous l’angle de la révision au sens de l’art. 17 LPGA.</w:t>
      </w:r>
    </w:p>
    <w:p>
      <w:r>
        <w:t>A/729/2010 - 13/14 -</w:t>
      </w:r>
    </w:p>
    <w:p>
      <w:r>
        <w:rPr>
          <w:b/>
        </w:rPr>
        <w:t>E. 12</w:t>
      </w:r>
    </w:p>
    <w:p>
      <w:r>
        <w:t>Reste à déterminer si la diminution du droit à la rente peut être confirmée, par substitution de motifs, sous l’angle de la reconsidération, explicitement réglementée à l'art. 53 al. 2 LPGA. L'administration peut en effet reconsidérer une décision formellement passée en force de chose jugée sur laquelle aucune autorité judiciaire ne s'est prononcée, à condition qu'elle soit sans nul doute erronée et que sa rectification revête une importance notable (KIESER, ATSG-Kommentar, Zurich 2003, ch. 18 ad art. 53). Toutefois, dès lors que la demi-rente d'invalidité a été initialement octroyée par la Commission cantonale de recours AVS-AI, compétente à l'époque, une reconsidération est en l'espèce exclue.</w:t>
      </w:r>
    </w:p>
    <w:p>
      <w:r>
        <w:rPr>
          <w:b/>
        </w:rPr>
        <w:t>E. 13</w:t>
      </w:r>
    </w:p>
    <w:p>
      <w:r>
        <w:t>Partant, le recours sera admis partiellement.</w:t>
      </w:r>
    </w:p>
    <w:p>
      <w:r>
        <w:rPr>
          <w:b/>
        </w:rPr>
        <w:t>E. 14</w:t>
      </w:r>
    </w:p>
    <w:p>
      <w:r>
        <w:t>Dans la mesure où l'intimé succombe largement, il sera condamné à verser au recourant une indemnité de 2'000 fr. à titre de dépens.</w:t>
      </w:r>
    </w:p>
    <w:p>
      <w:r>
        <w:rPr>
          <w:b/>
        </w:rPr>
        <w:t>E. 15</w:t>
      </w:r>
    </w:p>
    <w:p>
      <w:r>
        <w:t>L'émolument de justice, fixé à 200 fr., est mis à la charge de l'intimé.</w:t>
      </w:r>
    </w:p>
    <w:p>
      <w:r>
        <w:t>A/729/2010 - 14/14 -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