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ATAS/507/2009 vom 5. Mai 2009</w:t>
      </w:r>
    </w:p>
    <w:p>
      <w:r>
        <w:t>GE Cour de justice, 2009-05-05, FR</w:t>
      </w:r>
    </w:p>
    <w:p>
      <w:r>
        <w:rPr>
          <w:b/>
        </w:rPr>
        <w:t xml:space="preserve">Quelle: </w:t>
      </w:r>
      <w:r>
        <w:t>https://mcp.opencaselaw.ch/entscheid/ge_gerichte_ATAS_507_2009</w:t>
      </w:r>
    </w:p>
    <w:p>
      <w:r>
        <w:t>FR: GE_GERICHTE ATAS/507/2009 du 5 mai 2009</w:t>
      </w:r>
    </w:p>
    <w:p>
      <w:r>
        <w:t>IT: GE_GERICHTE ATAS/507/2009 del 5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l'OCAI de ce que la décision litigieuse, du 15 janvier 2009, est annulée.</w:t>
      </w:r>
    </w:p>
    <w:p>
      <w:r>
        <w:rPr>
          <w:b/>
        </w:rPr>
        <w:t>E. 2</w:t>
      </w:r>
    </w:p>
    <w:p>
      <w:r>
        <w:t>Donne acte à l'OCAI de son accord à entrer en matière, et à instruire la cause, dans le sens mentionné dans le procès-verbal d'audience du 5 mai 2009.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rPr>
          <w:b/>
        </w:rPr>
        <w:t>E. 4</w:t>
      </w:r>
    </w:p>
    <w:p>
      <w:r>
        <w:t>Donne acte à la recourante de son accord avec ce qui précède.</w:t>
      </w:r>
    </w:p>
    <w:p>
      <w:r>
        <w:rPr>
          <w:b/>
        </w:rPr>
        <w:t>E. 5</w:t>
      </w:r>
    </w:p>
    <w:p>
      <w:r>
        <w:t>Renonce à percevoir l'émolument.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