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ATAS/507/2008 vom 30. April 2008</w:t>
      </w:r>
    </w:p>
    <w:p>
      <w:r>
        <w:t>GE Cour de justice, 2008-04-30, FR</w:t>
      </w:r>
    </w:p>
    <w:p>
      <w:r>
        <w:rPr>
          <w:b/>
        </w:rPr>
        <w:t xml:space="preserve">Quelle: </w:t>
      </w:r>
      <w:r>
        <w:t>https://mcp.opencaselaw.ch/entscheid/ge_gerichte_ATAS_507_2008</w:t>
      </w:r>
    </w:p>
    <w:p>
      <w:r>
        <w:t>FR: GE_GERICHTE ATAS/507/2008 du 30 avril 2008</w:t>
      </w:r>
    </w:p>
    <w:p>
      <w:r>
        <w:t>IT: GE_GERICHTE ATAS/507/2008 del 30 aprile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A/2741/2007 - 5/8 -</w:t>
      </w:r>
    </w:p>
    <w:p>
      <w:r>
        <w:rPr>
          <w:b/>
        </w:rPr>
        <w:t>E. 3</w:t>
      </w:r>
    </w:p>
    <w:p>
      <w:r>
        <w:t>Interjeté dans les forme et délai prescrits par la loi, le recours est recevable (art. 5 et 60 LPGA).</w:t>
      </w:r>
    </w:p>
    <w:p>
      <w:r>
        <w:rPr>
          <w:b/>
        </w:rPr>
        <w:t>E. 4</w:t>
      </w:r>
    </w:p>
    <w:p>
      <w:r>
        <w:t>Le litige porte sur la question de savoir si le diagnostic de conflit sous-acromial mis en évidence lors de l'arthro-IRM du 8 janvier 2007 ainsi que l'incapacité de travail dès le 9 janvier 2007 constituent les suites de l'accident du 20 octobre 2006 et relèvent de la responsabilité de l'intimé</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lien de causalité adéquate est en revanche une question de droit qu'il appartient à l'administration et, en cas de recours, au juge de trancher. La causalité est adéquate</w:t>
      </w:r>
    </w:p>
    <w:p>
      <w:r>
        <w:t>A/2741/2007 - 6/8 -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w:t>
      </w:r>
    </w:p>
    <w:p>
      <w:r>
        <w:rPr>
          <w:b/>
        </w:rPr>
        <w:t>E. 6</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w:t>
      </w:r>
    </w:p>
    <w:p>
      <w:r>
        <w:rPr>
          <w:b/>
        </w:rPr>
        <w:t>E. 7</w:t>
      </w:r>
    </w:p>
    <w:p>
      <w:r>
        <w:t>En l'espèce, force est de constater que les suites de l'accident du 20 octobre 2006 étaient éteintes, dès lors que le médecin consulté en urgence avait diagnostiqué une contusion de l'épaule droite nécessitant une incapacité de travail de quelques jours, que les radiographies étaient sans particularité et que l'assuré a repris le travail le 31 octobre 2006. En outre, selon les déclarations du recourant en audience, il apparaît qu'en réalité il aurait été victime d'un second événement quelques semaines plus tard, qui a entraîné une nouvelle incapacité de travail à compter du 9 janvier 2007. Cet événement n'a toutefois pas été annoncé à l'intimée. Il appartiendra en conséquence à cette dernière, pour le cas où elle entrerait en matière, de rendre une décision quant à sa responsabilité sur les conséquences du nouvel événement dont le recourant demande la prise en charge.</w:t>
      </w:r>
    </w:p>
    <w:p>
      <w:r>
        <w:t>A/2741/2007 - 7/8 -</w:t>
      </w:r>
    </w:p>
    <w:p>
      <w:r>
        <w:rPr>
          <w:b/>
        </w:rPr>
        <w:t>E. 8</w:t>
      </w:r>
    </w:p>
    <w:p>
      <w:r>
        <w:t>Mal fondé, le recours est rejeté.</w:t>
      </w:r>
    </w:p>
    <w:p>
      <w:r>
        <w:t>A/2741/2007 - 8/8 -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