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ATAS/506/2021 vom 27. Mai 2021</w:t>
      </w:r>
    </w:p>
    <w:p>
      <w:r>
        <w:t>GE Cour de justice, 2021-05-27, FR</w:t>
      </w:r>
    </w:p>
    <w:p>
      <w:r>
        <w:rPr>
          <w:b/>
        </w:rPr>
        <w:t xml:space="preserve">Quelle: </w:t>
      </w:r>
      <w:r>
        <w:t>https://mcp.opencaselaw.ch/entscheid/ge_gerichte_ATAS_506_2021</w:t>
      </w:r>
    </w:p>
    <w:p>
      <w:r>
        <w:t>FR: GE_GERICHTE ATAS/506/2021 du 27 mai 2021</w:t>
      </w:r>
    </w:p>
    <w:p>
      <w:r>
        <w:t>IT: GE_GERICHTE ATAS/506/2021 del 27 maggio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w:t>
      </w:r>
    </w:p>
    <w:p>
      <w:r>
        <w:t>A/103/2021 - 4/8 -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 et délai requis par la loi, le recours est recevable.</w:t>
      </w:r>
    </w:p>
    <w:p>
      <w:r>
        <w:rPr>
          <w:b/>
        </w:rPr>
        <w:t>E. 3</w:t>
      </w:r>
    </w:p>
    <w:p>
      <w:r>
        <w:t>a. C’est un principe général que les prestations indûment touchées doivent être restituées. La LPGA l’ancre dans son domaine d’application à son art. 25, complété par les art. 2 à 5 de l’ordonnance sur la partie générale du droit des assurances sociales du 11 septembre 2002 (OPGA - RS 830.11). La restitution ne peut être exigée lorsque l'intéressé était de bonne foi et qu'elle le mettrait dans une situation difficile (art. 25 al. 1 phr. 2 LPGA). La teneur de ces dispositions est reprise ou répétée pour diverses prestations sociales, dont à l’art. 24 LPCC pour les PCC. La procédure de restitution comporte trois étapes (les deux premières faisant souvent l’objet d’une même décision) : la première porte sur le caractère indu des prestations, la seconde sur la restitution en tant que telle des prestations indûment versées (comportant l’examen de la réalisation des conditions d’une révision ou d’une reconsidération, au sens de l’art. 53 al. 1 et 2 LPGA dans la mesure où les prestations fournies à tort l’ont été en exécution d’une décision en force), et, cas échéant, la troisième, sur la remise de l'obligation de restituer, subordonnée aux deux conditions cumulatives de la bonne foi de l’intéressé et du fait que la restitution le mettrait dans une situation difficile (arrêt du Tribunal fédéral 9C_678/2011 du 4 janvier 2012 consid. 5.2 ; ATAS/587/2016 du 19 juillet 2016 consid. 3 ; ATAS/365/2016 du 10 mai 2016 consid. 7a ; Ueli KIESER, ATSG Kommentar, 3ème éd., 2015, n. 9 ad art. 25 LPGA, p. 383). Ce n’est qu’une fois la décision portant sur la restitution des prestations perçues indûment entrée en force que sont examinées les conditions cumulatives de la bonne foi et de l’exposition à une situation difficile, à moins qu’il ne soit manifeste que ces deux conditions sont remplies, auquel cas il doit être renoncé à la restitution déjà au stade de la prise de la décision sur la restitution (art. 3 al. 3 OPGA ; Ueli KIESER, op. cit., n. 53 ad art. 25, p. 392 s.). Le moment déterminant pour apprécier s’il y a une situation difficile est celui où la décision de restitution est exécutoire (art. 4 al. 2 OPGA). b. En l’espèce, l’obligation de restituer un trop-perçu de prestations complémentaires de CHF 6'566.-, correspondant aux prestations versées à tort entre le 1er février 2014 et le 30 novembre 2019 a été fixée quant à son principe et à sa quotité par la décision du 18 novembre 2019, désormais entrée en force. Dès lors, le litige se limite à la question du bien-fondé du refus de remise de l’obligation de restituer la dite somme.</w:t>
      </w:r>
    </w:p>
    <w:p>
      <w:r>
        <w:rPr>
          <w:b/>
        </w:rPr>
        <w:t>E. 4</w:t>
      </w:r>
    </w:p>
    <w:p>
      <w:r>
        <w:t>a. Au sens de l’art. 25 al. 1 phr. 2 LPGA, la bonne foi – qui se présume (selon la règle générale qu’énonce l’art. 3 al. 1 du Code civil suisse, du 10 décembre 1907 -</w:t>
      </w:r>
    </w:p>
    <w:p>
      <w:r>
        <w:t>A/103/2021 - 5/8 - CC - RS 210) - est réalisée lorsque le bénéficiaire de prestations sociales versées en réalité à tort n’a pas eu conscience de leur caractère indu lorsqu’il les a touchées, pour autant que ce défaut de conscience soit excusable d’après une appréciation objective des circonstances du cas d’espèce. Il ne suffit donc pas que le bénéficiaire d'une prestation indue ait ignoré qu’il n’y avait pas droit pour admettre qu’il était de bonne foi. Il faut bien plutôt qu’il ne se soit rendu coupable, non seulement d’aucune intention malicieuse, mais aussi d’aucune négligence grave.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un tel élément (ATF 112 V 103 consid. 2c ; arrêt du Tribunal fédéral 9C_14/2007 du 2 mai 2007 consid. 4 ; DTA 2003 n° 29 p. 260 consid. 1.2 et les références ; RSAS 1999 p. 384 ; Ueli KIESER, op. cit., n. 47 ss ad art. 25, p. 391 s.). b.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 ATAS/646/2016 du 23 août 2016 consid. 3 ; ATAS/82/2016 du 2 février 2016 consid. 4). La condition de la bonne foi doit être réalisée dans la période où l’assuré concerné a reçu les prestations indues dont la restitution est exigée (arrêt du Tribunal fédéral 8C_766/2007 du 17 avril 2008 consid. 4.1 et les références citées). Les directives concernant les prestations complémentaires à l'AVS et à l'AI (DPC) relèvent que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w:t>
      </w:r>
    </w:p>
    <w:p>
      <w:r>
        <w:t>A/103/2021 - 6/8 - légère - la feuille de calcul des prestations complémentaires, n’annonce pas une erreur de calcul qu’elle aurait facilement pu reconnaître (DPC 4652.03). c. Selon l’art. 31 LPGA, l'ayant droit, ses proches ou les tiers auxquels une prestation est versée sont tenus de communiquer à l'assureur ou, selon le cas, à l'organe compétent toute modification importante des circonstances déterminantes pour l'octroi d'une prestation (al. 1). L’art. 24 de l’ordonnance sur les prestations complémentaires à l’assurance-vieillesse, survivants et invalidité du 15 janvier 1971 (OPC - AVS/AI - RS 831.301), reprend les mêmes règles.</w:t>
      </w:r>
    </w:p>
    <w:p>
      <w:r>
        <w:rPr>
          <w:b/>
        </w:rPr>
        <w:t>E. 5</w:t>
      </w:r>
    </w:p>
    <w:p>
      <w:r>
        <w:t>a. En l’espèce, la recourante allègue avoir averti l’intimé en mars 2012 des démarches qu'elle avait entreprises auprès de la Sécurité sociale allemande en vue de bénéficier d’une rente. Il est exact que, suite à un courrier que lui avait adressé le SPC le 3 février 2012, lui réclamant, notamment, la copie des décisions de rentes de l’assurance-vieillesse et survivants et de la prévoyance professionnelle, la recourante a répondu, en date du</w:t>
      </w:r>
    </w:p>
    <w:p>
      <w:r>
        <w:rPr>
          <w:b/>
        </w:rPr>
        <w:t>E. 7</w:t>
      </w:r>
    </w:p>
    <w:p>
      <w:r>
        <w:t>février 2012, qu’elle n’avait pas encore reçu de réponse de sa caisse de retraite. Par courrier du 8 mars 2012, elle a effectivement évoqué une possible rente étrangère. Cependant, comme le fait remarquer à juste titre l’intimé, jamais la recourante ne l’a avisé du résultat de ses démarches. Qui plus est, lors d'une précédente révision du dossier, en 2014, l'intéressée a laissé vierge la rubrique intitulée "autres rentes en provenance de l'étranger" du formulaire rempli le 12 août 2014 (pce 64 SPC) ; elle ne l’avait jamais avisé du résultat, ni du montant de la rente en question. Le versement de la rente allemande ne ressortait pas des relevés bancaires produits avant la révision du dossier initiée en 2019 (cf. relevés 2013 et 2014, pce 64 SPC). Au SPC qui lui réclamait expressément, en date du 10 octobre 2014, les justificatifs de la rente de la sécurité sociale étrangère et la copie de son jugement de divorce, la recourante s’est contentée de répondre en envoyant une copie dudit jugement, par courrier du 30 décembre 2014, sans aborder la question de la rente (pce 74 SPC). Force est de constater que la recourante n’a pas apporté la preuve qu’elle avait avisé le SPC du résultat positif des démarches qu’elle lui avait annoncé avoir engagées, pas plus que du montant que lui avait finalement alloué l’Allemagne. Or, elle ne pouvait ignorer, au vu des rappels réguliers du SPC, qu’elle devait annoncer toute augmentation des revenus et/ou des rentes et/ou de la fortune mobilière en Suisse et à l’étranger. Les courriers adressés par la Centrale de compensation à la Sécurité sociale allemande ne sont à cet égard pas pertinents, dans la mesure où il appartenait à la recourante d’informer l’autorité compétente, à savoir, en l’occurrence, le SPC. Quoi qu’il en soit, les courriers produits concernent des renseignements transmis par la Centrale suisse à l’Allemagne concernant la situation de la bénéficiaire en Suisse et non l’inverse.</w:t>
      </w:r>
    </w:p>
    <w:p>
      <w:r>
        <w:t>A/103/2021 - 7/8 - Il apparaît donc établi que la recourante n’a informé l’intimé que dans le cadre de la révision initiée en 2019 et qu’elle a dès lors failli à son obligation de renseigner régulièrement depuis février 2014, date à laquelle elle a commencé à bénéficier de la rente allemande selon le courrier finalement transmis pour information à l’intimé en date du 4 février 2019. La violation du devoir de renseigner doit donc être considérée comme établie. b. Reste à qualifier la gravité de cette faute. En effet, ainsi que cela a été rappelé supra, selon la jurisprudence, la bonne foi d'un assuré peut être reconnue lorsque l'acte ou l'omission fautif ne constitue qu'une violation légère de l'obligation d'annoncer ou de renseigner. En l’espèce, il convient donc d’examiner si la nécessité d’annoncer l’existence d’une rente de la Sécurité sociale allemande devait ou non apparaître évidente à la recourante. En l'occurrence, on constate que la négligence de l'assurée a eu pour conséquence un versement indu de CHF 6’566.- au total. On ne saurait donc qualifier sa faute de légère, d’autant moins que, chaque année, il lui était rappelé de signaler au SPC toute modification dans ses revenus. Il suit de tout ce qui précède que la recourante ne peut exciper, dans le cas d’espèce, de sa bonne foi. Partant, il est superfétatoire d’examiner si la condition de la charge trop lourde est réalisée. Le recours est rejeté.</w:t>
      </w:r>
    </w:p>
    <w:p>
      <w:r>
        <w:t>A/103/2021 - 8/8 -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