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ATAS/506/2020 vom 24. Juni 2020</w:t>
      </w:r>
    </w:p>
    <w:p>
      <w:r>
        <w:t>GE Cour de justice, 2020-06-24, FR</w:t>
      </w:r>
    </w:p>
    <w:p>
      <w:r>
        <w:rPr>
          <w:b/>
        </w:rPr>
        <w:t xml:space="preserve">Quelle: </w:t>
      </w:r>
      <w:r>
        <w:t>https://mcp.opencaselaw.ch/entscheid/ge_gerichte_ATAS_506_2020</w:t>
      </w:r>
    </w:p>
    <w:p>
      <w:r>
        <w:t>FR: GE_GERICHTE ATAS/506/2020 du 24 juin 2020</w:t>
      </w:r>
    </w:p>
    <w:p>
      <w:r>
        <w:t>IT: GE_GERICHTE ATAS/506/2020 del 24 giugno 2020</w:t>
      </w:r>
    </w:p>
    <w:p>
      <w:pPr>
        <w:pStyle w:val="Heading2"/>
      </w:pPr>
      <w:r>
        <w:t>Erwägungen</w:t>
      </w:r>
    </w:p>
    <w:p>
      <w:r>
        <w:rPr>
          <w:b/>
        </w:rPr>
        <w:t>E. 10</w:t>
      </w:r>
    </w:p>
    <w:p>
      <w:r>
        <w:t>Selon le rapport final sur les mesures d'ordre professionnel du 28 avril 2017, l’OAI a pris en charge, dans le cadre d’un mandat de réadaptation, une formation dispensée par I______ du 8 septembre 2014 au 30 septembre 2016, à l’issue de laquelle, la recourante a obtenu le certificat de « praticienne esthétique ». Pour la soutenir dans ses démarches d’insertion professionnelle et augmenter ses perspectives de trouver un emploi et d’obtenir une capacité de gain, l’OAI a encore pris en charge une mesure de soutien à l’insertion professionnelle auprès de D______, du 2 octobre 2016 au 31 mars 2017, en lui versant des indemnités journalières pendant cette période. Le médecin-conseil de l’intimé a estimé, le 18 mars 2017, que l’activité d’esthéticienne était adaptée aux limitations fonctionnelles de l’assurée et exigible à 100% dès la date de l’obtention du diplôme et le mandat de réadaptation a en conséquence été liquidé.</w:t>
      </w:r>
    </w:p>
    <w:p>
      <w:r>
        <w:rPr>
          <w:b/>
        </w:rPr>
        <w:t>E. 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w:t>
      </w:r>
    </w:p>
    <w:p>
      <w:r>
        <w:t>A/3100/2017 - 25/26 - Tribunal fédéral 8C_312/2016 du 13 mars 2017 consid. 5.4; arrêts du Tribunal fédéral des assurances I 43/05 du 30 juin 2006 consid. 5.2).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 La rente est versée dès le début du mois au cours duquel le droit prend naissance (al. 3).</w:t>
      </w:r>
    </w:p>
    <w:p>
      <w:r>
        <w:rPr>
          <w:b/>
        </w:rPr>
        <w:t>E. 12</w:t>
      </w:r>
    </w:p>
    <w:p>
      <w:r>
        <w:t>En l’espèce, il est établi que la recourante est totalement incapable de travailler dans le marché normal depuis plus d’un an. Elle a déposé une demande de prestations à l’OAI en 2013. Elle a ainsi droit à une rente d’invalidité entière, à l’issue des mesures octroyées par l’intimé, pendant lesquelles elle a reçu l’indemnité journalière, soit dès le 1er avril 2017.</w:t>
      </w:r>
    </w:p>
    <w:p>
      <w:r>
        <w:rPr>
          <w:b/>
        </w:rPr>
        <w:t>E. 13</w:t>
      </w:r>
    </w:p>
    <w:p>
      <w:r>
        <w:t>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w:t>
      </w:r>
    </w:p>
    <w:p>
      <w:r>
        <w:rPr>
          <w:b/>
        </w:rPr>
        <w:t>E. 14</w:t>
      </w:r>
    </w:p>
    <w:p>
      <w:r>
        <w:t>En l’espèce, une expertise judiciaire a été ordonnée par la chambre de céans le 28 janvier 2019, qui a considéré que cette mesure d’instruction était nécessaire, au vu des rapports médicaux contradictoires figurant au dossier. Il se justifie, en conséquence, de mettre les frais de l’expertise à la charge de l’intimé.</w:t>
      </w:r>
    </w:p>
    <w:p>
      <w:r>
        <w:rPr>
          <w:b/>
        </w:rPr>
        <w:t>E. 15</w:t>
      </w:r>
    </w:p>
    <w:p>
      <w:r>
        <w:t>La recourante obtenant gain de cause et ayant été assistée d’un conseil, elle a droit à des dépens qui seront fixés à CHF 2'000.- (art. 61 let. g LPGA).</w:t>
      </w:r>
    </w:p>
    <w:p>
      <w:r>
        <w:rPr>
          <w:b/>
        </w:rPr>
        <w:t>E. 16</w:t>
      </w:r>
    </w:p>
    <w:p>
      <w:r>
        <w:t>L'intimé, qui succombe, sera condamné au paiement d'un émolument de CHF 500.- (art. 69 al. 1bis LAI).</w:t>
      </w:r>
    </w:p>
    <w:p>
      <w:r>
        <w:t>A/3100/2017 - 26/26 -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