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ATAS/506/2017 vom 15. Juni 2017</w:t>
      </w:r>
    </w:p>
    <w:p>
      <w:r>
        <w:t>GE Cour de justice, 2017-06-15, FR</w:t>
      </w:r>
    </w:p>
    <w:p>
      <w:r>
        <w:rPr>
          <w:b/>
        </w:rPr>
        <w:t xml:space="preserve">Quelle: </w:t>
      </w:r>
      <w:r>
        <w:t>https://mcp.opencaselaw.ch/entscheid/ge_gerichte_ATAS_506_2017</w:t>
      </w:r>
    </w:p>
    <w:p>
      <w:r>
        <w:t>FR: GE_GERICHTE ATAS/506/2017 du 15 juin 2017</w:t>
      </w:r>
    </w:p>
    <w:p>
      <w:r>
        <w:t>IT: GE_GERICHTE ATAS/506/2017 del 15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w:t>
      </w:r>
    </w:p>
    <w:p>
      <w:r>
        <w:t>A/3192/2016 - 8/11 - sans réserve dès le jour de son entrée en vigueur (ATF 117 V 93 consid. 6b; 112 V 360 consid. 4a ; RAMA 4/1998 p. 316 consid. 3b).</w:t>
      </w:r>
    </w:p>
    <w:p>
      <w:r>
        <w:rPr>
          <w:b/>
        </w:rPr>
        <w:t>E. 3</w:t>
      </w:r>
    </w:p>
    <w:p>
      <w:r>
        <w:t>Interjeté dans les formes et délai prévus par la loi, le recours est recevable (art. 56 à 60 LPGA).</w:t>
      </w:r>
    </w:p>
    <w:p>
      <w:r>
        <w:rPr>
          <w:b/>
        </w:rPr>
        <w:t>E. 4</w:t>
      </w:r>
    </w:p>
    <w:p>
      <w:r>
        <w:t>Le litige se limite au point de savoir si l’intimé était fondé à refuser d’entrer en matière sur la nouvelle demande de prestations du recourant.</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rPr>
          <w:b/>
        </w:rPr>
        <w:t>E. 6</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w:t>
      </w:r>
    </w:p>
    <w:p>
      <w:r>
        <w:t>A/3192/2016 - 9/11 -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t>A/3192/2016 - 10/11 -</w:t>
      </w:r>
    </w:p>
    <w:p>
      <w:r>
        <w:rPr>
          <w:b/>
        </w:rPr>
        <w:t>E. 10</w:t>
      </w:r>
    </w:p>
    <w:p>
      <w:r>
        <w:t>Il ressort de ce qui précède que la question qui se pose en l’occurrence est uniquement celle de savoir si le recourant, au moment de la décision litigieuse - soit le 19 août 2016 - avait rendu plausible une aggravation de son état de santé survenue depuis le 30 juin 2015. Force est de constater qu’aucun des documents produits avant la décision litigieuse - ni même après - ne fait mention d’une aggravation de l’état du recourant. Certes, une nouvelle intervention est mentionnée - qui n’a entraîné qu’un arrêt de travail limité dans le temps - mais le chirurgien, s’il indique l’absence d’amélioration, ne fait pas état d’une aggravation. Les limitations évoquées sont toujours les mêmes que précédemment et il n’a jamais été exigé du recourant qu’il reprenne son activité habituelle. Dans sa décision du 30 juin 2015 déjà, l’OAI s’est basé une capacité de travail de 100% dans une activité adaptée, ce qu’aucun des médecins du recourant ne conteste, si ce n’est pour des raisons relevant du manque de formation et de l’âge de leur patient. Aucun élément ne démontre la survenance d’une nouvelle atteinte pas plus que l’aggravation de la répercussion des atteintes sur les limitations fonctionnelles ou une modification du taux de capacité de travail dans une activité adaptée retenu antérieurement. S’il est vrai qu’à ce stade, des indices d’une modification suffisent, encore faut-il que ces indices parlent en faveur d’une modification déterminante, ce qui n’est manifestement pas le cas en l’espèce. C’est dès lors à juste titre que l’intimé a refusé d’entrer en matière sur la nouvelle demande. Eu égard aux considérations qui précèdent, le recours est rejeté.</w:t>
      </w:r>
    </w:p>
    <w:p>
      <w:r>
        <w:t>A/3192/2016 - 11/11 -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