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ATAS/506/2008 vom 1. Juni 2006</w:t>
      </w:r>
    </w:p>
    <w:p>
      <w:r>
        <w:t>GE Cour de justice, 2006-06-01, FR</w:t>
      </w:r>
    </w:p>
    <w:p>
      <w:r>
        <w:rPr>
          <w:b/>
        </w:rPr>
        <w:t xml:space="preserve">Quelle: </w:t>
      </w:r>
      <w:r>
        <w:t>https://mcp.opencaselaw.ch/entscheid/ge_gerichte_ATAS_506_2008</w:t>
      </w:r>
    </w:p>
    <w:p>
      <w:r>
        <w:t>FR: GE_GERICHTE ATAS/506/2008 du 1 juin 2006</w:t>
      </w:r>
    </w:p>
    <w:p>
      <w:r>
        <w:t>IT: GE_GERICHTE ATAS/506/2008 del 1 giugno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donné acte aux demandeur de ce qu'ils se partagent par moitié les prestations de sortie acquises durant le mariage, soit du 9 mars 1990 au 22 août 2006, date à laquelle le jugement de divorce est devenu exécutoire.</w:t>
      </w:r>
    </w:p>
    <w:p>
      <w:r>
        <w:rPr>
          <w:b/>
        </w:rPr>
        <w:t>E. 3</w:t>
      </w:r>
    </w:p>
    <w:p>
      <w:r>
        <w:t>Selon les documents produits, la prestation de sortie du demandeur s'élève à 638'973 fr. 10 au moment du divorce, intérêts compris. Après déduction de la prestation acquise au moment du mariage augmentée des intérêts dus jusqu'au divorce, soit 101'713 fr. 50, la prestation de sortie acquise pendant le mariage par le</w:t>
      </w:r>
    </w:p>
    <w:p>
      <w:r>
        <w:t>A/3141/2006 7/8 demandeur s'élève à 537'259 fr. 60. La moitié de ce montant, soit 268'629 fr. 80 revient à l'ex-épouse. Quant à la demanderesse, sa prestation de sortie acquise pendant le mariage s'élève à 45'236 fr. 10 (25'701 fr. + 19'535 fr. 10), dont la moitié, soit 22'618 fr. 05 revient à l'ex-époux. En conséquence, le demandeur doit à la demanderesse la somme de 246'011 fr. 75 (268'629 fr. 80 - 22'618 fr. 05).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w:t>
      </w:r>
    </w:p>
    <w:p>
      <w:r>
        <w:t>A/3141/2006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