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ATAS/505/2022 vom 1. Juni 2022</w:t>
      </w:r>
    </w:p>
    <w:p>
      <w:r>
        <w:t>GE Cour de justice, 2022-06-01, FR</w:t>
      </w:r>
    </w:p>
    <w:p>
      <w:r>
        <w:rPr>
          <w:b/>
        </w:rPr>
        <w:t xml:space="preserve">Quelle: </w:t>
      </w:r>
      <w:r>
        <w:t>https://mcp.opencaselaw.ch/entscheid/ge_gerichte_ATAS_505_2022</w:t>
      </w:r>
    </w:p>
    <w:p>
      <w:r>
        <w:t>FR: GE_GERICHTE ATAS/505/2022 du 1 juin 2022</w:t>
      </w:r>
    </w:p>
    <w:p>
      <w:r>
        <w:t>IT: GE_GERICHTE ATAS/505/2022 del 1 giugno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À teneur de l’art. 1 al. 1 LAA, les dispositions de la LPGA s’appliquent à l’assurance-accidents, à moins que la loi n’y déroge expressément.</w:t>
      </w:r>
    </w:p>
    <w:p>
      <w:r>
        <w:rPr>
          <w:b/>
        </w:rPr>
        <w:t>E. 2.2</w:t>
      </w:r>
    </w:p>
    <w:p>
      <w:r>
        <w:t>La procédure devant la chambre de céans est régie par les dispositions de la LPGA et de la loi sur la procédure administrative, du 12 septembre 1985 (LPA – E 5 10).</w:t>
      </w:r>
    </w:p>
    <w:p>
      <w:r>
        <w:rPr>
          <w:b/>
        </w:rPr>
        <w:t>E. 2.3</w:t>
      </w:r>
    </w:p>
    <w:p>
      <w:r>
        <w:t>Le délai de recours est de trente jours (art. 56 LPGA ; art. 62 al. 1 LPA). Lorsque le délai échoit un samedi, un dimanche ou un jour férié selon le droit fédéral ou cantonal, son terme est reporté au premier jour ouvrable qui suit (art. 38 al. 3 LPGA et 17 al. 3 LPA).</w:t>
      </w:r>
    </w:p>
    <w:p>
      <w:r>
        <w:rPr>
          <w:b/>
        </w:rPr>
        <w:t>E. 2.4</w:t>
      </w:r>
    </w:p>
    <w:p>
      <w:r>
        <w:t>Après réception de la décision sur opposition le 22 octobre 2021, le délai de recours a commencé à courir le lendemain et est arrivé à échéance le 22 novembre 2022, le dernier jour du délai tombant un dimanche (21 novembre 2021). Posté le 22 novembre 2021, le recours a été interjeté en temps utile. Respectant également les exigences de forme prévues par l’art. 61 let. b LPGA (cf. aussi l’art. 89B LPA), le recours est recevable.</w:t>
      </w:r>
    </w:p>
    <w:p>
      <w:r>
        <w:rPr>
          <w:b/>
        </w:rPr>
        <w:t>E. 3</w:t>
      </w:r>
    </w:p>
    <w:p>
      <w:r>
        <w:t>Dans la mesure où les accidents sont survenus les 27 août 2019 et 27 janvier 2020, le droit de la recourante aux prestations d’assurance est soumis au nouveau droit, en vigueur depuis le 1er janvier 2017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4</w:t>
      </w:r>
    </w:p>
    <w:p>
      <w:r>
        <w:t>Le litige porte sur le droit de la recourante aux prestations d’assurance au-delà du 31 janvier 2021.</w:t>
      </w:r>
    </w:p>
    <w:p>
      <w:r>
        <w:rPr>
          <w:b/>
        </w:rPr>
        <w:t>E. 4.1</w:t>
      </w:r>
    </w:p>
    <w:p>
      <w:r>
        <w:t>et les références).</w:t>
      </w:r>
    </w:p>
    <w:p>
      <w:r>
        <w:rPr>
          <w:b/>
        </w:rPr>
        <w:t>E. 4.2</w:t>
      </w:r>
    </w:p>
    <w:p>
      <w:r>
        <w:t>Dans un arrêt 8C_22/2019 du 24 septembre 2019 (publié aux ATF 146 V 51), le Tribunal fédéral a examiné les répercussions de la modification législative relative aux lésions corporelles assimilées à un accident. Il s’est notamment penché sur la question de savoir quelle disposition était désormais applicable lorsque l’assureur-accidents a admis l’existence d’un accident au sens de l’art. 4 LPGA et que l’assuré souffre d’une lésion corporelle au sens de l’art. 6 al. 2 LAA. Le Tribunal fédéral a admis que, dans cette hypothèse, l’assureur-accidents doit prendre en charge les suites de la lésion en cause sur la base de l’art. 6 al. 1 LAA; en revanche, en l’absence d’un accident au sens juridique, le cas doit être examiné sous l’angle de l’art. 6 al. 2 LAA (ATF 146 V 51 consid. 9.1; résumé dans la RSAS 1/2020 p. 33 ss.; arrêt du Tribunal fédéral 8C_520/2020 du 3 mai 2021 consid. 5.1).</w:t>
      </w:r>
    </w:p>
    <w:p>
      <w:r>
        <w:rPr>
          <w:b/>
        </w:rPr>
        <w:t>E. 4.3</w:t>
      </w:r>
    </w:p>
    <w:p>
      <w:r>
        <w:t>En l’espèce, il n’est pas contesté par l’intimée que les événements des 27 août 2019 et 27 janvier 2020 sont constitutifs d’accident au sens de l’art. 4 LPGA. Partant, il n’est pas nécessaire de déterminer si certaines lésions constatées par les médecins dans le dossier litigieux tombent sous la liste de l’art. 6 al. 2 LAA puisque même dans l’affirmative, la cause devrait être examinée exclusivement sous l’angle de l’art. 6 al. 1 LAA. Cela implique que si une lésion au sens de l’art. 6 al. 2 LAA est due à un accident assuré, l’assureur doit la prendre en charge jusqu’à ce que cet accident n’en constitue plus la cause naturelle et adéquate et que l’atteinte à la santé qui subsiste est due uniquement à des causes étrangères à l’accident considéré (ATF 146 V 51 consid. 5.1 et 9.1; ci-après : consid. 5.2 et 5.3).</w:t>
      </w:r>
    </w:p>
    <w:p>
      <w:r>
        <w:rPr>
          <w:b/>
        </w:rPr>
        <w:t>E. 5</w:t>
      </w:r>
    </w:p>
    <w:p>
      <w:r>
        <w:t>Il convient ainsi d’examiner, au regard des principes exposés à l’ATF 146 V 51 précité, la question du lien de causalité entre les lésions constatées et les accidents des 27 août 2019 et 27 janvier 2020, étant précisé qu’en relation avec les art. 10 (droit au traitement médical) et 16 (droit à l’indemnité journalière) LAA, l’art. 6 al. 1 LAA implique, pour l’ouverture du droit aux prestations, l’existence d’un rapport de causalité naturelle et adéquate entre l’accident, d’une part, le traitement médical et l’incapacité de travail de la personne assurée, d’autre part (arrêt du Tribunal fédéral 8C_726/2008 du 14 mai 2009 consid. 2.1).</w:t>
      </w:r>
    </w:p>
    <w:p>
      <w:r>
        <w:rPr>
          <w:b/>
        </w:rPr>
        <w:t>E. 5.1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w:t>
      </w:r>
    </w:p>
    <w:p>
      <w:r>
        <w:t>A/3981/2021 - 9/18 -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w:t>
      </w:r>
    </w:p>
    <w:p>
      <w:r>
        <w:rPr>
          <w:b/>
        </w:rPr>
        <w:t>E. 5.2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5.3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w:t>
      </w:r>
    </w:p>
    <w:p>
      <w:r>
        <w:t>A/3981/2021 - 10/18 - 8C_441/2017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À noter que le statu quo sine est également atteint lorsqu’après un deuxième accident, l’état de santé correspond à nouveau à celui qui existait au moment de la fin du droit aux prestations provisoires (traitement médical et indemnités journalières) allouées suite à un premier accident (cf. arrêt du Tribunal fédéral 8C_781/2017 du 21 septembre 2018 consid. 5.2.1; Doris WOLLENWEIDER/ Andreas BRUNNER, in Frésard-Fellay, Leuzinger, Pärli [éditeurs], Basler Kommentar, Unfallversicherungsgesetz, 2019, n. 10 ad art. 36 LAA).</w:t>
      </w:r>
    </w:p>
    <w:p>
      <w:r>
        <w:rPr>
          <w:b/>
        </w:rPr>
        <w:t>E. 5.4</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6.2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w:t>
      </w:r>
    </w:p>
    <w:p>
      <w:r>
        <w:t>A/3981/2021 - 11/18 -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6.2.2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w:t>
      </w:r>
    </w:p>
    <w:p>
      <w:r>
        <w:t>A/3981/2021 - 12/18 - médicales nouvelles s’avèrent superflues. En pareil cas, une expertise médicale effectuée uniquement sur la base d’un dossier peut se voir reconnaître une pleine valeur probante (arrêt du Tribunal fédéral 8C_681/2011 du 27 juin 2012 consid.</w:t>
      </w:r>
    </w:p>
    <w:p>
      <w:r>
        <w:rPr>
          <w:b/>
        </w:rPr>
        <w:t>E. 6.2.3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 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w:t>
      </w:r>
    </w:p>
    <w:p>
      <w:r>
        <w:t>A/3981/2021 - 13/18 - principe de la libre appréciation des preuves, d’établir un état de fait qui correspond, au degré de la vraisemblance prépondérante, à la réalité (ATF 139 V 176 consid. 5.2 et les références).</w:t>
      </w:r>
    </w:p>
    <w:p>
      <w:r>
        <w:rPr>
          <w:b/>
        </w:rPr>
        <w:t>E. 8.2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(ATF 133 V 57 consid. 6.8; arrêt du Tribunal fédéral 8C_3/2010 du 4 août 2010 consid. 4.1). Ainsi, il peut liquider le cas en invoquant le fait que selon une appréciation correcte de l’état de fait, un événement assuré n’est jamais survenu (ATF 130 V 380 consid. 2.3.1). Le</w:t>
      </w:r>
    </w:p>
    <w:p>
      <w:r>
        <w:t>A/3981/2021 - 14/18 -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11.1</w:t>
      </w:r>
    </w:p>
    <w:p>
      <w:r>
        <w:t>Faisant siennes les appréciations des 20 janvier et 1er décembre 2021 du Dr I______, l’intimée considère que le statu quo sine était rétabli le 20 janvier 2021, et qu’ainsi, elle était en droit de mettre un terme à l’octroi des prestations avec effet au 31 janvier 2021.</w:t>
      </w:r>
    </w:p>
    <w:p>
      <w:r>
        <w:rPr>
          <w:b/>
        </w:rPr>
        <w:t>E. 11.2</w:t>
      </w:r>
    </w:p>
    <w:p>
      <w:r>
        <w:t>Pour sa part, la recourante conteste implicitement la survenance du statu quo sine le 20 janvier 2021 car elle présenterait toujours, au-delà du 31 janvier 2021, des troubles et des limitations fonctionnelles de l’épaule gauche (port de charges limité à 5kg) nécessitant, selon la Dresse D______, la poursuite de la physiothérapie et, selon le Dr H______, une intervention chirurgicale à cette épaule.</w:t>
      </w:r>
    </w:p>
    <w:p>
      <w:r>
        <w:rPr>
          <w:b/>
        </w:rPr>
        <w:t>E. 11.3</w:t>
      </w:r>
    </w:p>
    <w:p>
      <w:r>
        <w:t>À cet égard, il ressort des éléments radiologiques du dossier, composés des IRM des 5 novembre 2019 et 16 septembre 2020, qu’il existait, sur chacun de ces documents d’imagerie, des remaniements dégénératifs de l’articulation acromio- claviculaire, un épanchement articulaire gléno-huméral (en diminution par rapport au 5 novembre 2019) ainsi qu’une lame d’épanchement dans la bourse sous- acromio-deltoïdienne (en augmentation par rapport au 5 novembre 2019). Pour le reste, les IRM précitées, réalisées l’une après le premier accident et l’autre après le second accident, ont également pour point commun de ne révéler aucune anomalie tendineuse autre que celle qui concerne le seul tendon du sus-épineux, avec toutefois des diagnostics légèrement différents, la première IRM évoquant une fissuration focale non transfixiante de la face superficielle de l’enthèse du tendon du sus-épineux sur 4mm d’axe antéropostérieur et la seconde l’apparition d’une fissuration interstitielle de la jonction myotendineuse du supra-épineux, associée à un hypersignal STIR au sein du tendon à ce niveau, sans que la fissuration focale de la face superficielle de l’enthèse du tendon du sus-épineux du 5 novembre 2019 soit retrouvée. En ce qui concerne la lecture et/ou l’interprétation qui est faite de ces rapports IRM, la chambre de céans constate que tant le Dr I______ que le Dr H______ s’accordent à dire que les IRM réalisées à dix mois d’intervalle sont comparables, mais pas pour les mêmes raisons, le premier étant d’avis que ces IRM objectivent</w:t>
      </w:r>
    </w:p>
    <w:p>
      <w:r>
        <w:t>A/3981/2021 - 15/18 - l’une et l’autre une arthrose acromio-claviculaire ainsi qu’une fissuration de la face superficielle du tendon du sus-épineux correspondant à un état dégénératif préexistant (avis du 20 janvier 2021), le second estimant pour sa part, dans ses rapports des 3 novembre 2020 et 30 janvier 2021, qu’elles illustrent une « lésion partielle intra-articulaire du tendon sus-épineux […], une lésion partielle de la face profonde du tendon sous-scapulaire », que ces lésions tendineuses ont probablement été provoquées par le premier accident et ont en tout cas été décompensées par le second accident et qu’il existe, pour le surplus, une arthropathie acromio-claviculaire cliniquement muette. On relève en outre que nonobstant les termes « fissuration focale non transfixiante […] » employés par le radiologue C______ dans son rapport du 5 novembre 2019, le Dr E______ évoque une lésion transfixiante de l’infra-épineux. Dans la mesure où il n’appartient pas au juge de tirer des conclusions qui relèvent de la science et des tâches du corps médical (cf. arrêt du Tribunal fédéral I 1080 du 13 avril 2007 consid. 4.2), la chambre de céans ne saurait prendre position sur la question de savoir s’il convient, à l’instar du Dr I______, de s’en tenir à une lecture stricte des rapports IRM précités ou si les images qui les sous-tendent objectiveraient, cas échéant, des lésions tendineuses plus étendues et/ou l’origine traumatique de ces lésions du fait de l’accident du 27 août 2019 (cf. les rapports précités des Drs I______ et E______). Toujours est-il que dans un rapport du 16 décembre 2020 à l’intimée (pièce 32 intimée), le Dr H______ indiquait que pour les lésions des tendons de la coiffe de l’épaule gauche, une opération était prévue, incluant donc la lésion du sus-épineux à l’état maladif préexistant – aux dires du Dr I______ – à laquelle s’étaient ajoutés des « dégâts traumatiques ou aggravants » du fait de « l’action délétère » des accidents des 27 août 2019 et 27 janvier 2020 (cf. l’avis du 1er décembre 2021 du Dr I______). Dans ce même avis, le Dr I______ indique également, à propos de l’opération envisagée, qu’il serait hasardeux d’admettre que les troubles nécessitant cette intervention chirurgicale se résumeraient au seul problème de la fissuration interstitielle du tendon du sus-épineux et qu’à cet égard, le cas ne serait « pas clair » et de toute manière « pas traumatique ». En raisonnant de la sorte, le Dr I______ et, à sa suite, l’intimée, ne tiennent toutefois pas compte du fait qu’une causalité partielle entre ladite intervention et les accidents des 27 août 2019 et 27 janvier 2020 suffirait : selon la jurisprudence en effet, les causes pertinentes au sens de l’art. 6 al. 1 LAA comprennent également les circonstances dans lesquelles l’atteinte à la santé ne serait pas survenue au même moment. Une atteinte traumatique dommageable fonde ainsi un droit aux prestations d’assurance même lorsque sans l’événement assuré, le dommage serait survenu tôt ou tard et qu’ainsi, l’accident constitue la condition sine qua non uniquement pour ce qui concerne le moment de la survenance du dommage. En revanche, la situation est différente si l’accident ne constitue qu’une cause occasionnelle ou fortuite – qui rend manifeste un risque présent qui aurait</w:t>
      </w:r>
    </w:p>
    <w:p>
      <w:r>
        <w:t>A/3981/2021 - 16/18 - pu se produire à tout moment – et qu’il est dépourvu de toute portée propre d’un point de vue causal (cf. arrêt du Tribunal fédéral 8C_337/2016 du 7 juillet 2016 consid. 4.1.1 ; Doris VOLLENWEIDER, Andreas BRUNNER, in Frésard-Fellay, Leuzinger, Pärli [éd.], Basler Kommentar, Unfallversicherungsgesetz, n. 19 ad art. 36 LAA). Dès lors que le Dr I______ a considéré que les accidents des 27 août 2019 et 27 janvier 2020 avaient eu une « action délétère » et que la fissuration interstitielle du tendon du sus-épineux constituait – à tout le moins – l’une des causes de l’intervention chirurgicale programmée pour le 2 février 2021 (pièce 34 intimée), l’appréciation de ce même médecin, selon laquelle le statu quo sine aurait été atteint le 20 janvier 2021 – du seul fait qu’une aggravation traumatique passagère d’un état maladif préexistant est par principe limitée dans le temps – apparaît insuffisamment motivée et partant douteuse, dès lors qu’elle implique qu’il serait établi, au degré de la vraisemblance prépondérante, que la nécessité de l’intervention en question se serait manifestée en février 2021 également, même sans les événements assurés des 27 août 2019 et 27 janvier 2020. Or, ce dernier point n’a précisément fait l’objet d’aucune mesure d’instruction de la part de l’intimée, en particulier d’aucune comparaison avec l’épaule droite.</w:t>
      </w:r>
    </w:p>
    <w:p>
      <w:r>
        <w:rPr>
          <w:b/>
        </w:rPr>
        <w:t>E. 11.4</w:t>
      </w:r>
    </w:p>
    <w:p>
      <w:r>
        <w:t>La jurisprudence rappelée notamment par l’arrêt 8C_337/2016 précité impliquerait les conséquences suivantes pour le cas d’espèce : si le besoin d’un traitement médical des troubles de l’épaule gauche – qui était toujours d’actualité le 31 janvier 2021 – et l’indication opératoire (voire une opération effectuée dans l’intervalle) étaient apparus plus tôt que cela aurait été le cas sans les accidents des 27 août 2019 et 27 janvier 2020, l’intimée serait tenue de prendre en charge les coûts de ce traitement (art. 10 LAA), incluant les frais de ladite intervention, ainsi qu’une éventuelle incapacité de travail associée (art. 16 LAA). Tant et aussi longtemps qu’il s’avérerait que les suites des accidents des 27 août 2019 et 27 janvier 2020 constituent encore une cause, même partielle, d’un traitement médical et/ou d’une incapacité de travail, l’intimée devrait fournir des prestations d’assurance à la recourante, et ce jusqu’à ce qu’il soit établi, au degré de la vraisemblance prépondérante, que les atteintes causées par cet accident ne constitueraient plus une cause, même partielle, des troubles de l’épaule gauche de la recourante et qu’ainsi, son atteinte à la santé ne s’expliquerait plus que par les causes antérieures aux événements des 27 août 2019 et 27 janvier 2020.</w:t>
      </w:r>
    </w:p>
    <w:p>
      <w:r>
        <w:rPr>
          <w:b/>
        </w:rPr>
        <w:t>E. 12.1</w:t>
      </w:r>
    </w:p>
    <w:p>
      <w:r>
        <w:t>Vu l’absence de valeur probante des appréciations du Dr I______, on ne saurait conclure au degré de la vraisemblance prépondérante, que les accidents des 27 août 2019 et 27 janvier 2020 auraient cessé d’être la cause, même partielle, des troubles de l’épaule gauche après le 31 janvier 2021, soit la date fixée par l’intimée pour la cessation de l’octroi de prestations à la recourante. Pour le surplus, la chambre de céans ne saurait pas non plus se fonder sur les rapports des Drs E______ et H______, ne serait-ce qu’au vu de la lecture singulière des IRM à</w:t>
      </w:r>
    </w:p>
    <w:p>
      <w:r>
        <w:t>A/3981/2021 - 17/18 - laquelle ces médecins se livrent, sans toutefois qu’ils s’en expliquent (cf. ci- dessus : consid. 11.3).</w:t>
      </w:r>
    </w:p>
    <w:p>
      <w:r>
        <w:rPr>
          <w:b/>
        </w:rPr>
        <w:t>E. 12.2</w:t>
      </w:r>
    </w:p>
    <w:p>
      <w:r>
        <w:t>Au vu de ce qui précède, la chambre de céans n’est pas en mesure de trancher le fond du litige. Vu l’absence d’avis médicaux probants notamment sur la question litigieuse de l’éventuelle survenance du statu quo sine, il se justifie de renvoyer la cause à l’intimée afin qu’elle procède à des investigations complémentaires en vue d’établir d’office l’ensemble des faits déterminants et, le cas échéant, qu’elle administre les preuves nécessaires, au besoin par une expertise, avant de rendre une nouvelle décision (cf. art. 43 al. 1 LPGA).</w:t>
      </w:r>
    </w:p>
    <w:p>
      <w:r>
        <w:rPr>
          <w:b/>
        </w:rPr>
        <w:t>E. 13</w:t>
      </w:r>
    </w:p>
    <w:p>
      <w:r>
        <w:t>Partant, le recours sera partiellement admis. La décision litigieuse sera annulée et la cause renvoyée à l’intimée pour instruction complémentaire au sens des considérants et nouvelle décision.</w:t>
      </w:r>
    </w:p>
    <w:p>
      <w:r>
        <w:rPr>
          <w:b/>
        </w:rPr>
        <w:t>E. 14</w:t>
      </w:r>
    </w:p>
    <w:p>
      <w:r>
        <w:t>Étant donné que la recourante obtient partiellement gain de cause, une indemnité de CHF 2’000.- lui sera accordée à titre de participation à ses frais et dépens, à charge de l’intimée (art. 61 let. g LPGA; art. 89H al. 3 LPA ; art. 6 du règlement sur les frais, émoluments et indemnités en procédure administrative du 30 juillet 1986 – RFPA ; RS E 5 10.03). Pour le surplus, la procédure est gratuite (art. 61 LPGA et 89H al. 1 LPA).</w:t>
      </w:r>
    </w:p>
    <w:p>
      <w:r>
        <w:t>*****</w:t>
      </w:r>
    </w:p>
    <w:p>
      <w:r>
        <w:t>A/3981/2021 - 18/18 -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