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ATAS/505/2017 vom 20. Juni 2017</w:t>
      </w:r>
    </w:p>
    <w:p>
      <w:r>
        <w:t>GE Cour de justice, 2017-06-20, FR</w:t>
      </w:r>
    </w:p>
    <w:p>
      <w:r>
        <w:rPr>
          <w:b/>
        </w:rPr>
        <w:t xml:space="preserve">Quelle: </w:t>
      </w:r>
      <w:r>
        <w:t>https://mcp.opencaselaw.ch/entscheid/ge_gerichte_ATAS_505_2017</w:t>
      </w:r>
    </w:p>
    <w:p>
      <w:r>
        <w:t>FR: GE_GERICHTE ATAS/505/2017 du 20 juin 2017</w:t>
      </w:r>
    </w:p>
    <w:p>
      <w:r>
        <w:t>IT: GE_GERICHTE ATAS/505/2017 del 20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14 septembre 2016 contre la décision litigieuse du 20 juillet 2016, reçue le lendemain, a été formé en temps utile (art. 60 al. 1 LPGA), compte tenu de la suspension du délai de recours du 15 juillet au 15 août inclusivement (art. 38 al. 4 let. b et 60 al. 2 LPGA). Il satisfait aux exigences de forme et de contenu prévues par l’art. 61 let. b LPGA (cf. aussi art. 89B LPA). Même si la recourante s’est vue octroyer une rente entière d’invalidité sur la base d’un degré d’invalidité de 80 % et qu’à cet égard-ci une admission de son recours</w:t>
      </w:r>
    </w:p>
    <w:p>
      <w:r>
        <w:t>A/3083/2016 - 12/22 - ne lui apporterait pas d’avantages directs, elle est touchée par ladite décision et a un intérêt digne de protection à son annulation ou à sa modification, dans la mesure où l’admission d’un degré d’invalidité supérieur à 80 % modifierait la situation en sa faveur dans la perspective d’une éventuelle révision ultérieure et ainsi que dans la fixation de ses prétentions à l’encontre de l’assurance-accidents, de l’assurance responsabilité civile de l’auteur de l’accident à l’origine de ses atteintes à la santé et de son institution de prévoyance professionnelle. La recourante a donc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3ème éd., 2015, n. 13 ss ad art. 43, n. 95 ss ad art. 61 ;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t>A/3083/2016 - 13/22 -</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la demande de prestations de l’AI est intervenue en mars 2014, pour des atteintes à la santé consécutives à l’accident dont la recourante a été victime le 16 septembre 2013. Aussi le droit applicable est-il le droit actuellement en vigueur, résultant de la dernière révision de la LAI, dite 6a du 18 mars 2011, entrée en vigueur le 1er janvier 2012. Au demeurant, ladite révision 6a comme les révisions précédentes de la LAI – à savoir celles des 21 mars 2003 [4ème révision] et 6 octobre 2006 [5ème révision], entrées en vigueur respectivement les 1er janvier 2004 et 1er janvier 2008 –, n’ont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w:t>
      </w:r>
    </w:p>
    <w:p>
      <w:r>
        <w:t>A/3083/2016 - 14/22 -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w:t>
      </w:r>
    </w:p>
    <w:p>
      <w:r>
        <w:rPr>
          <w:b/>
        </w:rPr>
        <w:t>E. 5</w:t>
      </w:r>
    </w:p>
    <w:p>
      <w:r>
        <w:t>a. La principale question litigieuse en l’espèce est celle du statut de la recourante, qui estime qu’à défaut d’atteinte à la santé elle travaillerait à 100 % et aurait donc le statut d’une personne active, alors que l’intimé considère qu’elle a un statut mixte, composé d’une part professionnelle (de 45 % d’après la décision attaquée) et d’une part d’activités ménagères (de 55 % selon la décision attaquée). b.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w:t>
      </w:r>
    </w:p>
    <w:p>
      <w:r>
        <w:t>A/3083/2016 - 15/22 -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 d’entrée de jeu (ATF 117 V 194 consid. 3b; Pratique VSI 1997 p. 301 ss consid. 2b). La volonté hypothétique de l’assuré doit être prise en considération ; son établissement soulève toutefois la difficulté qu’elle constitue un fait interne, qui ne saurait être considéré comme établi par la seule déclaration de l’assuré qu’à défaut d’atteinte à la santé il aurait exercé une activité lucrative à tel ou tel taux ; il faut qu’il puisse se déduire d’indices extérieurs (arrêt du Tribunal fédéral des assurances I 693/06 du 20 décembre 2006 consid. 4.1).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c/aa. Comme l’intimé l’a admis lors de la seconde audience de comparution personnelle, l’assurée aurait travaillé davantage qu’à 45 % si elle n’avait pas été atteinte dans sa santé. Pour lui, il peut être admis que sa part professionnelle aurait atteint 60 % (et donc qu’elle aurait vaqué à ses tâches ménagères pour le 40 % restant). L’assurée revendique le statut d’active à 100 %. c/bb. Si, dans sa demande de prestations de l’AI, la recourante n’a certes pas fait état d’autres activités que celles qu’elle exerçait en parallèle depuis au moins 2012 respectivement comme agente d’entretien chez C______ SA et comme aide de cuisine dans un restaurant scolaire pour l’association D______ (totalisant un 45 % d’activité en fonction du nombre d’heures de travail hebdomadaire différent prévalant dans ces deux secteurs d’activité, la recourante y étant active à raison de</w:t>
      </w:r>
    </w:p>
    <w:p>
      <w:r>
        <w:rPr>
          <w:b/>
        </w:rPr>
        <w:t>E. 10</w:t>
      </w:r>
    </w:p>
    <w:p>
      <w:r>
        <w:t>heures par semaine tant dans l’un que dans l’autre de ces deux emplois), il est erroné d’affirmer, comme l’a fait l’intimé lors de la première audience de comparution personnelle, qu’elle n’avait pas fait état de ses activités d’appoint de femme de ménage au cours de la procédure d’instruction. En effet, elle a explicitement déclaré à l’enquêtrice, le 26 octobre 2015, qu’à l’époque de son accident, elle faisait des démarches en vue de trouver un troisième emploi dans le domaine du nettoyage, qu’elle faisait aussi des ménages « au noir » chez des privés et qu’elle souhaitait trouver un emploi à 100 %. C’est d’ailleurs aussi ce taux de 100 % qu’elle a inscrit ce jour-là en remplissant le questionnaire relatif à son statut (doc. 78 page 1 OAI), indiquant que, sans atteinte à la santé, elle travaillerait dans le secteur du ménage, à 100 %, pour le motif qu’elle finançait les études d’une de ses filles et soutenait financièrement sa mère (sous-entendu au Pérou).</w:t>
      </w:r>
    </w:p>
    <w:p>
      <w:r>
        <w:t>A/3083/2016 - 16/22 - Les précisions qu’elle a pu fournir ultérieurement à propos de ces emplois supplémentaires ne sauraient être taxées d’opportunistes et faites pour les besoins de la cause, après avoir pris conscience de l’impact de l’admission d’un degré d’invalidité supérieur à celui de 80 % retenu par l’intimé. Il appert que la recourante a d’importantes séquelles de son accident et présente en particulier des troubles sévères notamment au niveau mnésique, comme les médecins l’ont retenu, dont le Dr E______ des HUG, le médecin du SMR et le médecin traitant de la recourante, le Dr H______. c/cc. Les déclarations que la recourante a faites concernant un engagement en voie possiblement de se réaliser lorsqu’elle a eu son accident se trouvent nettement confirmées par l’attestation du 27 janvier 2017 de l’association « Rien ne va plus ». En effet, selon cette attestation, la recourante avait bien postulé auprès de cette association pour partager la charge de travail d’une collègue, sur proposition de cette dernière ; un entretien avait été fixé avec elle en septembre 2013, mais il n’avait pas eu lieu du fait que l’assurée avait eu un accident ; la recourante était alors la seule candidate pour le poste considéré ; c’était un homme que la collègue de la recourante avait alors proposé en remplacement de cette dernière qui avait été engagé, à raison de 18 heures par mois pour un salaire horaire brut de CHF 24.55 dès décembre 2013. Il y a tout lieu de penser que si la recourante n’avait pas eu son accident, c’est elle qui aurait été engagée par ladite association. Ce dernier point est au demeurant sans importance, car ce qui est déterminant n’est pas de savoir si elle aurait été engagée, mais si elle souhaitait effectivement s’engager dans un troisième emploi, ce qui doit être admis au regard de ladite attestation, des déclarations de la recourante, du fait que rien n’autorise à ne pas considérer les trois emplois en question comme compatibles entre eux tant par leur nature que par leurs horaires d’exercice. Comme l’intimé l’a déclaré lors de la seconde audience de comparution personnelle, 18 heures de travail par mois correspondent à un 10 % d’activité, venant s’ajouter aux 45 % admis dès le début, sans préjudice de la prise en compte, le cas échéant, d’autres heures de travail de femme de ménage que la recourante effectuait ou – plus justement dit – aurait souhaité et pu accomplir. c/dd. L’instruction du recours a démontré la véracité, sur le plan du principe et globalement s’agissant du nombre d’heures de travail par semaine, du fait que la recourante effectuait, en sus de ses engagements pour ses deux employeurs précités, des heures comme femme de ménage chez des privés. Peu importe que lesdites heures n’étaient pas déclarées, s’agissant de déterminer à quel taux d’activité la recourante aurait travaillé sans atteinte à la santé. Il doit être tenu pour établi que la recourante a effectué de telles heures de ménage parallèlement, en sus de ses deux emplois fixes précités, durant les mois ayant précédé son accident, à savoir à tout le moins chez Mmes J______ (deux heures toutes les deux semaines), L______ (deux heures par semaine) et N______ (trois heures par semaine), mais aussi – ce qui doit être admis en termes de vraisemblance</w:t>
      </w:r>
    </w:p>
    <w:p>
      <w:r>
        <w:t>A/3083/2016 - 17/22 - prépondérante – chez Mme I______ (à raison de trois heures par semaine, au vu de l’attestation signée le 30 mars 2017 par cette dernière) et Mme K______ (décédée dans l’intervalle, et n’ayant donc pu ni apporter son témoignage ni signer d’attestation, mais au vu de la confirmation des déclarations de la recourante pour les autres emplois non déclarés précités, à raison de deux heures par semaine). Ces quelque onze heures de travail hebdomadaires représentent, prises globalement, près d’un 25 % d’activité. c/ee. La question reste certes ouverte de savoir si, en termes de compatibilité d’horaire, la recourante aurait pu cumuler tous ces emplois, à savoir son emploi de 20 % chez C______ SA, son emploi de 25 % pour D______, un 10 % pour l’association « Rien ne va plus » et un 25 % dispersé entre cinq ménages différents, totalisant un 80 % d’activité. Là n’est toutefois pas la question déterminante. Le point décisif est de savoir à quel taux global d’activité la recourante aurait travaillé à défaut d’atteinte à la santé. Elle affirme qu’elle aurait cherché un emploi à 100 %. La chambre de céans n’exclut pas qu’il est possible que tel aurait été le cas, ni d’ailleurs qu’elle aurait vraisemblablement fini par en trouver un. Il n’est cependant pas établi, en termes de vraisemblance prépondérante, que tel aurait été le cas au-delà d’un 80 %. Sans doute la recourante a-t-elle paru à l’un des témoins entendus, Mme L______, désireuse d’effectuer plus d’heures de ménage. Son âge (49 ans en 2016, lors de la prise de la décision attaquée) ne parle pas davantage en faveur d’un 100 % que d’un 80 %, pas plus que la situation financière du ménage, avec des revenus mensuels cumulés de quelque CHF 6'100.- (CHF 1'100.- versés par la SUVA et CHF 5'000.- de salaire du mari) et des dépenses mensuelles comprenant un loyer de CHF 1'300.- , deux fois CHF 380.- de primes d’assurances maladie et un montant de base mensuel pour couple de CHF 1'700.- (Normes d’insaisissabilité pour l’année 2016, du 27 novembre 2015), nonobstant le soutien financier que tant la recourante que l’époux de ce dernier apportaient à leurs enfants respectifs. c/ff. En conclusion, la chambre de céans retient qu’à défaut d’atteinte à la santé, la recourante aurait travaillé à 80 %. C’est donc à bon droit que l’intimé a retenu un statut mixte, mais la répartition entre la sphère professionnelle et la sphère ménagère doit être modifiée, de façon à être respectivement de 80 % (et non 45 %) pour la sphère professionnelle et de 20 % (et non 55 %) pour la sphère ménagère. Le recours sera admis partiellement sur ce point, et la décision attaquée sera modifiée dans le sens précité. Comme il n’est pas contesté que la recourante est totalement incapable de travailler dans toute activité professionnelle, il s’ensuit que son degré d’invalidité dans ladite sphère professionnelle est de 80 %. 6. a. Concernant le degré d’invalidité de la recourante dans la sphère ménagère, il sied de rappeler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w:t>
      </w:r>
    </w:p>
    <w:p>
      <w:r>
        <w:t>A/3083/2016 - 18/22 -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b.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 518/2004 du 25 novembre 2005 consid. 4). Il convient donc d’examiner dans chaque cas si la personne est encore en mesure d’exécuter la tâche en question et, dans la négative, si une tierce personne rétribuée ou un de ses proches s’en occupe.</w:t>
      </w:r>
    </w:p>
    <w:p>
      <w:r>
        <w:t>A/3083/2016 - 19/22 - Pour satisfaire à l'obligation de réduire le dommage (voir ATF 129 V 460 consid. 4.2 et ATF 123 V 230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Dans le cadre de l'évaluation de l'invalidité dans les travaux habituels, l'aide des membres de la famille (en particulier celle des enfants et du conjoint) va au-delà de ce que l'on peut attendre de ceux-ci, si la personne assurée n'était pas atteinte dans sa santé (arrêts du Tribunal fédéral des assurances I 308/04 et I 309/04 du 14 janvier 2005 ; arrêt du Tribunal fédéral des assurances I 681/02 du 11 août 2003).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7. a. En l’espèce, il ne fait pas de doute que le rapport d’enquête économique sur le ménage que l’enquêtrice spécialisée de l’intimé a établi le 27 octobre 2016 répond aux exigences formelles posées à l’adresse de tels rapports. Les taux d’empêchements que l’enquêtrice a retenus (et confirmés dans sa note de travail du 1er mars 2016) sont élevés, puisqu’ils atteignent globalement 89.6 %, étant en particulier reconnus de 100 % pour l’entretien du logement, les emplettes et les courses diverses ainsi que la lessive et l’entretien des vêtements (postes pondérés respectivement à hauteur de 20 %, 8 % et 20 %), de 80 % pour l’alimentation (poste pondéré à 49 %) et de 70 % pour la conduite du ménage (poste pondéré à 2 %). Les critiques de la recourante tombent à faux s’agissant de ses empêchements pour les postes précités dans lesquels un taux de 100 % a été retenu. L’appréciation de l’enquêtrice, reprise par l’intimé, apparaît très sévère et par trop théorique s’agissant des empêchements de la recourante pour la conduite du ménage (70 %), compte tenu des importants troubles cognitifs et mnésiques de cette</w:t>
      </w:r>
    </w:p>
    <w:p>
      <w:r>
        <w:t>A/3083/2016 - 20/22 - dernière attestés médicalement, ainsi que pour l’alimentation (80 %), un 20 % de capacité dans ce domaine-ci ne pouvant se justifier au regard du fait que la recourante est à même de se réchauffer des plats au micro-onde (dont l’enquêtrice n’avait pas relevé qu’il ne serait pas placé au bon endroit pour être suffisamment accessible, et au demeurant même une fois placé au bon endroit, ce qui peut être attendu de la recourante et son mari). La limite de l’abus du pouvoir d’appréciation étant atteinte pour ces deux postes, la chambre de céans fixe ces deux taux d’empêchement à respectivement 85 % pour la conduite du ménage et 85 % pour l’alimentation. Il s’ensuit, avec les taux de pondération attribués par l’intimé à ces deux postes (respectivement 2 % et 49 %) et les exigibilités retenues par l’intimé, que le taux d’empêchement global pondéré est de 66.15 %, avec l’effet que le taux d’invalidité propre à la sphère ménagère de la recourante (20 % et non 55%) est de 13.23 % (66.15 % x 20 %). b. L’appréciation que l’intimé a faite de l’exigibilité échappe à la critique, en s’en tenant au jour, effectivement déterminant, où la décision attaquée a été rendue (soit au 20 juillet 2016). Une exigibilité ne pouvait alors être prise en compte qu’en considération de l’époux de la recourante, seul à vivre dans le ménage de cette dernière. Les taux retenus pour les différents postes ne sont pas excessifs, soit généralement 20 %, sauf 100 % pour les emplettes et courses diverses ; pour ce poste-ci, il est tout à fait envisageable et réaliste que l’époux de la recourante assume l’entier des activités s’y rattachant, en regroupement les achats à effectuer en une à deux fois par semaine. Il paraît évident et est d’ailleurs admis par l’intimé que le fait que l’époux de la recourante a quitté cette dernière définitivement le 5 mai 2017 pour s’installer au Pérou modifie sensiblement la donne s’agissant des taux d’empêchements pertinents à retenir depuis lors. Comme il s’agit d’un fait survenu postérieurement à la décision attaquée, la chambre de céans ne saurait cependant en tenir compte. Une révision de la décision attaquée, modifiée par le présent arrêt, reste réservée. c. Le recours doit aussi être admis partiellement sur la question des taux d’empêchement de la recourante pour l’accomplissement de ses tâches ménagères. 8. En conclusion, le degré d’invalidité devant être retenu est au total de 93.23 %, à arrondir à 93% (ATF 130 V 121 consid. 3), soit de 80 % pour la sphère professionnelle et de 13.23 % pour la sphère ménagère. Le recours sera ainsi admis partiellement et la décision attaquée modifiée dans le sens des considérants en tant qu’elle fixe le degré d’invalidité de la recourante. Il n’y a pas lieu d’annuler la décision attaquée dès lors que la rente d’invalidité de la recourante, calculé sur la base d’un degré d’invalidité de 80 %, est d’ores et déjà une rente entière d’invalidité (art. 28 al. 2 LAI). 9. a. La procédure n’étant pas gratuite en matière de contestations portant sur l’octroi ou le refus de prestations de l’AI devant le tribunal cantonal des assurances (donc la chambre de céans), en dérogation à l’art. 61 let. a LPGA (art. 69 al. 1bis phr. 1</w:t>
      </w:r>
    </w:p>
    <w:p>
      <w:r>
        <w:t>A/3083/2016 - 21/22 - LAI), il y a lieu de condamner l’intimé au paiement d'un émolument, arrêté en l’espèce au minimum de CHF 200.- (art. 69 al. 1bis phr. 2 in fine LAI). b. La recourante, représentée par un conseil, obtenant partiellement gain de cause, une indemnité lui sera accordée à titre de participation à ses frais et dépens, arrêtée en l’espèce à CHF 2’500.- (art. 61 let. g LPGA; art. 89H al. 3 LPA; art. 6 du règlement sur les frais, émoluments et indemnités en matière administrative, du 30 juillet 1986 [RFPA – RS/GE E 5 10.03]). * * * * * *</w:t>
      </w:r>
    </w:p>
    <w:p>
      <w:r>
        <w:t>A/3083/2016 - 22/22 -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