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ATAS/505/2015 vom 29. Juni 2015</w:t>
      </w:r>
    </w:p>
    <w:p>
      <w:r>
        <w:t>GE Cour de justice, 2015-06-29, FR</w:t>
      </w:r>
    </w:p>
    <w:p>
      <w:r>
        <w:rPr>
          <w:b/>
        </w:rPr>
        <w:t xml:space="preserve">Quelle: </w:t>
      </w:r>
      <w:r>
        <w:t>https://mcp.opencaselaw.ch/entscheid/ge_gerichte_ATAS_505_2015</w:t>
      </w:r>
    </w:p>
    <w:p>
      <w:r>
        <w:t>FR: GE_GERICHTE ATAS/505/2015 du 29 juin 2015</w:t>
      </w:r>
    </w:p>
    <w:p>
      <w:r>
        <w:t>IT: GE_GERICHTE ATAS/505/2015 del 29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Il convient en premier lieu d'examiner la recevabilité du recours. Le délai de recours est de 30 jours (art. 60 al. 1 LPGA). Interjeté dans la forme requise, il convient de vérifier s'il a été déposé dans le délai prévu par la loi. a.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w:t>
      </w:r>
    </w:p>
    <w:p>
      <w:r>
        <w:t>A/982/2014 - 9/21 -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l’envoi n’est pas retiré dans le délai de garde de 7 jours, il est réputé avoir été communiqué le dernier jour du délai (cf. ATF 117 V 131).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c. La preuve qu'un acte a été déposé en temps utile résulte en principe de la date de l'oblitération postale (ATF 109 Ia 183 consid. 3 b p. 184 ; arrêt 2C_711/2008 du</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A/982/2014 - 12/21 -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w:t>
      </w:r>
    </w:p>
    <w:p>
      <w:r>
        <w:t>A/982/2014 - 13/21 -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w:t>
      </w:r>
    </w:p>
    <w:p>
      <w:r>
        <w:t>A/982/2014 - 14/21 -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10</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w:t>
      </w:r>
    </w:p>
    <w:p>
      <w:r>
        <w:t>A/982/2014 - 15/21 -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w:t>
      </w:r>
    </w:p>
    <w:p>
      <w:r>
        <w:t>A/982/2014 - 16/21 - SVR 2010 IV n. 49 p. 151, consid. 3.5; arrêt du Tribunal fédéral 8C_760/2011 du 26 janvier 2012 consid. 3).</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Dans le cas d'espèce, il n'est pas contesté que la décision du 12 juillet 2007 est le point de départ temporel pour l'examen d'une modification du degré d'invalidité dans le cadre de la demande de révision du 26 avril 2013. Il s'agit en effet de la dernière décision entrée en force qui reposait sur un examen matériel du droit à la rente, qui comportait une constatation des faits pertinents, une appréciation des preuves et une comparaison des revenus conforme au droit. Conformément aux principes rappelés ci-dessus, l'intimé, fort de l'avis du SMR, après examen des documents médicaux produits par la recourante, émanant de son médecin traitant, est entré en matière sur la demande de révision, au motif que l'assurée avait ainsi rendu vraisemblable que son état de santé s'était aggravé depuis la dernière décision en force.</w:t>
      </w:r>
    </w:p>
    <w:p>
      <w:r>
        <w:rPr>
          <w:b/>
        </w:rPr>
        <w:t>E. 15</w:t>
      </w:r>
    </w:p>
    <w:p>
      <w:r>
        <w:t>Dans le cadre de l'instruction de la demande, l'OAI s'est fondé sur les documents recueillis du médecin traitant, le Dr D_______ qui, dans son avis initial, a exposé qu'entre 2006 et 2013 la recourante avait subi plusieurs épisodes neurologiques que l'on peut qualifier de poussées, avec des répercussions certes pas dramatiques, mais réelles, qui ne vont en tout cas pas dans le sens d'une amélioration de son état de santé. Il a considéré qu'une activité professionnelle supérieure à 50 % était délétère. Il constatait toutefois chez sa patiente un bon équilibre entre les prestations professionnelles qu'elle peut donner jusqu'à hauteur de 50 % mais son état de santé s'est tout de même aggravé de manière significative entre 2006 et 2013, malgré des précautions. L'état de fatigue, les difficultés de sensibilité étaient toujours au premier plan et justifient la réitération de l'appréciation d'une incapacité de travail de 50 %. Invité une première fois à actualiser les informations médicales, depuis mai 2013, il a précisé, en juillet 2013, que l'état de santé de la patiente s'était aggravé sans changement dans les diagnostics. Il a noté à cet égard des troubles sensitifs aggravés de l'hémicorps gauche, hyperpathie. Fondé sur ce rapport, le SMR a estimé, comme le médecin traitant, que le taux maximum de capacité de travail auquel on pouvait prétendre, dans l'activité exercée par l'assurée, activité que l'on doit retenir comme adaptée, est de 50 %, les limitations fonctionnelles justifiant cette incapacité de travail étant la fatigabilité, liée à l'atteinte, et les troubles</w:t>
      </w:r>
    </w:p>
    <w:p>
      <w:r>
        <w:t>A/982/2014 - 17/21 - sensitifs de l'hémicorps gauche. C'est sur cette base que la décision entreprise a été rendue, l'intimé ayant procédé à l'évaluation de l'invalidité en comparant les revenus sur la base de la méthode générale, applicable aux assurés actifs, ce que la recourante ne conteste d'ailleurs pas, exposant elle-même dans ses écritures que sans invalidité elle aurait exercé une activité à 100 %. Les revenus avec et sans invalidité ont été pris en compte de la manière la plus précise, soit en se fondant sur les revenus réalisés, respectivement qu'elle aurait pu réaliser selon l'employeur dans l'activité d'esthéticienne, pendant la dernière année où cette profession a été exercée, en 2004. Et en ce qui concerne le revenu avec invalidité, il a été fixé sur la base de ceux ressortant des renseignements fournis par la recourante par rapport à son emploi actuel. La comparaison de ces revenus, respectivement la différence entre ceux-ci, a déterminé un taux d'invalidité de 29 %, ne donnant effectivement pas droit à une rente.</w:t>
      </w:r>
    </w:p>
    <w:p>
      <w:r>
        <w:rPr>
          <w:b/>
        </w:rPr>
        <w:t>E. 16</w:t>
      </w:r>
    </w:p>
    <w:p>
      <w:r>
        <w:t>Curieusement, dans ses premières écritures, la recourante prétend que l'évaluation de son incapacité de travail aurait été effectuée à la lumière de la statistique des salaires bruts standardisés, ce qui n'est pas exact. Probablement d'ailleurs qu'elle a soulevé ce grief pour faire valoir que l'intimé n'aurait pas pris en compte une déduction globale supplémentaire, laquelle ne se conçoit que dans la mesure où les salaires pris en compte seraient fondés sur la statistique. L'argument n'a d'ailleurs pas été repris par la suite. Quoi qu'il en soit ce grief est hors de propos.</w:t>
      </w:r>
    </w:p>
    <w:p>
      <w:r>
        <w:rPr>
          <w:b/>
        </w:rPr>
        <w:t>E. 17</w:t>
      </w:r>
    </w:p>
    <w:p>
      <w:r>
        <w:t>Toujours représentée par son premier conseil, elle a fait valoir que l'intimé n'aurait pas tenu compte de ses remarques avant de rendre sa décision sur opposition : elle prétend à cet égard que son revenu sans invalidité avait été sous-estimé par l'intimé, ce dernier ayant, selon elle, retenu en moyenne un revenu mensuel en 2004 de CHF 200.- inférieur à celui effectivement réalisé. Il s'avère toutefois qu'à teneur de la pièce manuscrite qu'elle a produite, comparant mois par mois de l'année 2004 les revenus effectivement réalisés avec ceux pris en compte par l'intimé, c'est au contraire l'intimé qui avait retenu un revenu supérieur à celui effectivement réalisé, ceci dans les proportions alléguées par la recourante.</w:t>
      </w:r>
    </w:p>
    <w:p>
      <w:r>
        <w:rPr>
          <w:b/>
        </w:rPr>
        <w:t>E. 18</w:t>
      </w:r>
    </w:p>
    <w:p>
      <w:r>
        <w:t>Elle a ensuite fait valoir que l'aggravation de son état de santé impliquait un taux d'invalidité d'en tout cas 40 %. Elle n'a toutefois apporté aucun élément susceptible de rendre vraisemblable, et encore moins à fonder, une telle affirmation.</w:t>
      </w:r>
    </w:p>
    <w:p>
      <w:r>
        <w:rPr>
          <w:b/>
        </w:rPr>
        <w:t>E. 19</w:t>
      </w:r>
    </w:p>
    <w:p>
      <w:r>
        <w:t>Dans un troisième grief, alors représentée par un nouveau conseil, la recourante a allégué, s'agissant de la détermination de son revenu sans invalidité, qu'en 2003, selon son certificat de salaire annuel, elle avait réalisé un salaire de CHF 42'759.- bruts, soit une moyenne de CHF 3'563.25 par mois. Elle explique que ce montant correspond au salaire fixe de CHF 2'800.- par mois auquel s'ajoutent les commissions qu'elle a pu réaliser malgré la diminution de sa capacité de travail et son taux d'occupation effectif à 50 %. Elle en déduit que sans cette incapacité de travail, elle aurait pu incontestablement réaliser un salaire nettement plus élevé compte tenu de l'augmentation de ses commissions. Cela n'est pas exact. Non seulement, s'agissant de la part fixe du salaire en 2003, elle se réfère au contrat de</w:t>
      </w:r>
    </w:p>
    <w:p>
      <w:r>
        <w:t>A/982/2014 - 18/21 - travail de 2001, lequel prévoyait en effet une part fixe de CHF 2'800.- par mois, alors que le certificat annuel de salaire qu'elle produit montre qu'en 2003 la part fixe de son revenu avait été portée à CHF 2900.- bruts par mois, montant qu'elle a effectivement touché chaque mois de l'année, ce qui correspond à une activité à 100 %, qui selon son contrat était déterminée à hauteur de 44 heures par semaine. S'agissant des commissions que son activité a générées, cette année-là, elle représente en effet un peu plus de CHF 600.- par mois en moyenne, étant précisé que, selon son contrat, il lui était garanti un minimum de CHF 600.- par mois à ce titre, ce dont elle a effectivement bénéficié en mars et avril 2003, mois pendant lesquels elle a subi sa dernière incapacité de travail, cette année-là, en raison d'une poussée de sa maladie. Certes, a posteriori, sur la base des documents médicaux produits, il s'est établi un consensus entre l'avis du médecin traitant et les médecins du SMR, pour admettre, a posteriori, et à l'époque (2005), que dans l'activité d'esthéticienne, on ne pouvait exiger raisonnablement une capacité de travail supérieure à 50 %. La recourante omet toutefois de dire que dans son rapport d'examen du 21 janvier 2005, qu'elle produit, le SMR relevait que la dernière poussée avait eu lieu en mars-avril 2003, et avait laissé des séquelles sous forme d'une faiblesse du membre supérieur gauche et de troubles sensitifs des membres supérieur et inférieur gauches, ajoutant : « il semble que l'assurée ait repris son travail, mais il est évident que celui-ci n'est plus adapté à l'état de santé de l'assurée, et qu'il le sera encore moins si d'autres poussées interviennent. C'est sur ces bases que le SMR concluait qu'il fallait admettre une incapacité de travail de 50 % dans l'activité actuelle. Cette conclusion apparaissait toutefois théorique, par rapport à l'activité effectivement déployée encore par l'assurée, depuis la dernière poussée du printemps 2003, aussi théorique d'ailleurs que le pronostic du SMR, qui considérait à l'époque que des mesures professionnelles permettraient d'envisager une capacité de travail de 80 à 100 % dans une activité ne nécessitant pas des stations debout prolongées, éventuellement dans le secteur administratif, respectant les limitations fonctionnelles décrites. On a vu en effet par la suite que le reclassement professionnel n'a guère permis à l'assurée que de recouvrer une capacité de travail dans le domaine du secrétariat et de la réception, à hauteur de 50 % seulement. Dès lors que l'intimé a retenu un salaire moyen de CHF 3'660.- par mois, en 2004, soit légèrement plus que le revenu effectivement réalisé par l'assurée, cette année- là, sachant que la part fixe de son salaire, pendant ces dernières années de travail en tant qu'esthéticienne, était toujours de CHF 2'900.- par mois, il a en effet tenu compte de la part de commissions moyennes effectivement réalisées. Selon le certificat de salaire 2004, le salaire brut annuel réalisé, de CHF 41'978.- l'a été pour une activité à 100 %. Là encore, l'intimé se fondant sur les déclarations de l'employeur qui mentionnait qu'en 2004, l'assurée aurait pu prétendre à un revenu annuel de CHF 43'500.- (supérieur à celui effectivement réalisé), a fixé le revenu sans invalidité sur la base de ce montant qu’il a indexé à l’année 2012 au moyen de l’indice suisse nominal des salaires et ainsi fixé le montant pris en compte à CHF 48'406.-. Force est de constater que, contrairement à ce qu'allègue la</w:t>
      </w:r>
    </w:p>
    <w:p>
      <w:r>
        <w:t>A/982/2014 - 19/21 - recourante, il a, à tout le moins de façon équitable, été pris en compte une capacité de gain de la recourante, incluant la part variable sous forme de commissions, ceci dans une mesure que la chambre de céans considère comme probante, au degré de la vraisemblance prépondérante. À cet égard, la recourante n'apporte aucun élément susceptible de rendre vraisemblable qu'elle aurait pu effectivement réaliser des commissions largement supérieures, en tout état au point que cela eût pu avoir une incidence sur la comparaison entre les revenus avec et sans invalidité ; et déterminer ainsi un taux d'invalidité atteignant les 40 %, limite en deçà de laquelle l'assuré ne peut prétendre à une quelconque rente d'invalidité. Se fondant sur le principe de l'application anticipée des preuves, la chambre de céans ayant acquis la conviction que - pour autant que des mesures d'instruction fiables se conçoivent - celles-ci ne changeraient en rien l'issue du recours, elle n'ordonnera pas les mesures sollicitées par la recourante, soit l'audition de témoins éventuels, voire une expertise.</w:t>
      </w:r>
    </w:p>
    <w:p>
      <w:r>
        <w:rPr>
          <w:b/>
        </w:rPr>
        <w:t>E. 20</w:t>
      </w:r>
    </w:p>
    <w:p>
      <w:r>
        <w:t>La recourante a encore prétendu que son revenu sans invalidité devait être calculé en fonction des revenus qu'elle réalise actuellement dans son activité de secrétariat à 50 %, soit dans l'activité résultant de son reclassement et tenant compte des limitations dues à son état de santé, qui l'avaient empêchée de poursuivre son activité habituelle d'esthéticienne. Selon elle sa capacité de gain sans invalidité devrait être fixée en multipliant par deux son salaire actuel, soit 2 × (CHF 34'481.85 - 50 %), soit à hauteur de CHF 68'963.70 bruts. Au vu des principes légaux et des références de jurisprudence rappelés ci-dessus, il est évident qu'un tel raisonnement par rapport au mode de calcul ne peut en aucun cas entrer en considération dans le cadre de la détermination du revenu sans invalidité, comme relevé d'ailleurs à juste titre par l'intimé.</w:t>
      </w:r>
    </w:p>
    <w:p>
      <w:r>
        <w:rPr>
          <w:b/>
        </w:rPr>
        <w:t>E. 21</w:t>
      </w:r>
    </w:p>
    <w:p>
      <w:r>
        <w:t>Dans un dernier grief, la recourante invoque le fait que son médecin, dans son rapport du 1er juillet 2014, répondant aux questions posées par la chambre de céans, avait attesté d'une diminution de rendement - sans toutefois se prononcer sur le taux à retenir - de sorte qu'il convenait de la prendre en compte, le cas échéant après instruction sur ce point. La chambre de céans observe à cet égard que le médecin traitant, répondant à cette question, a tout d'abord rappelé qu'une aggravation de l'état de santé ne signifie pas nécessairement une diminution du taux de capacité de travail. S'agissant plus précisément de la diminution du rendement, il a indiqué qu'elle était évidente lorsqu'il y avait une atteinte cognitive, mais qu'elle n'est guère chiffrable tant elle est dépendante de l'état de fatigue quotidien et des variations d'un jour sinon d'une heure à l'autre. Non seulement cette considération est toute générale, mais ne va pas au-delà du principe, mais il convient également d'avoir l'esprit que cette observation s'inscrit dans le contexte de considérations concernant l'évolution de la situation très récente, remontant à ce moment-là à un mois environ, soit postérieurement à la date de la décision entreprise. Dans ce contexte, la recourante, interrogée par la chambre de céans, en comparution personnelle, a elle-même indiqué qu'elle ne pouvait</w:t>
      </w:r>
    </w:p>
    <w:p>
      <w:r>
        <w:t>A/982/2014 - 20/21 - définir de façon précise ni chiffrer ce que l'on peut considérer comme une baisse de rendement dans son travail, car cela dépend des jours et surtout de sa fatigue. Elle a déclaré qu'il ressortait d'une évaluation récente de la part de son employeur que sa supérieure hiérarchique la sentait parfois fatiguée, et qu'il en résultait quelques erreurs dans son travail. Elle a toutefois confirmé que son employeur, la Fondation C_______, se montre humain et compréhensif par rapport à une baisse de régime qu'elle peut parfois subir. Elle a d'ailleurs précisé lors de cette audition qu'en dépit du fait que l'aggravation de son état de santé avait entraîné une incapacité de travail totale pendant plusieurs mois en 2014, cette période étant révolue aujourd'hui, elle n'avait entrepris aucune démarche nouvelle auprès de l'OAI, du moment que la durée de son incapacité totale ne pouvait pas être considérée comme durable. Il ressort donc de ce qui précède que l'éventuelle baisse de rendement, variable et ponctuelle, n'est dans l'état actuel des choses ni constante ni de nature à réduire, encore plus qu'elle ne l'est déjà, la capacité de travail de la recourante. La fatigabilité et les troubles sensitifs dont la recourante est affectée dans l'hémicorps gauche constituent déjà les limitations fonctionnelles prises en compte dans la réduction de sa capacité de travail. Sans perdre de vue la nature invalidante évolutive de la maladie dont souffre la recourante, la chambre de céans considère qu'au moment où la décision entreprise a été rendue, l'intimé n'avait aucun motif de prendre en compte complémentairement une baisse de rendement dans l'évaluation de la capacité de travail de l'assurée, d'autant qu'à ce jour, l'aggravation heureusement momentanée de son état de santé dans le courant de l'année 2014 ne semble plus d'actualité, selon la recourante elle-même. Ainsi, si malheureusement, dans l'avenir, cet aspect devait véritablement affecter sa capacité de travail de façon durable dans le cadre d'une nouvelle aggravation de son état de santé, elle aurait la possibilité de demander une réévaluation de la situation à l'OAI. Ce grief, comme les précédents, n'est donc pas fondé.</w:t>
      </w:r>
    </w:p>
    <w:p>
      <w:r>
        <w:rPr>
          <w:b/>
        </w:rPr>
        <w:t>E. 22</w:t>
      </w:r>
    </w:p>
    <w:p>
      <w:r>
        <w:t>En tous points mal fondés, le recours est rejeté. La recourante, déboutée, n’a pas droit à des dépens (art. 61 let. g LPGA).</w:t>
      </w:r>
    </w:p>
    <w:p>
      <w:r>
        <w:rPr>
          <w:b/>
        </w:rPr>
        <w:t>E. 23</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A/982/2014 - 21/21 -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