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ATAS/504/2022 vom 30. Mai 2022</w:t>
      </w:r>
    </w:p>
    <w:p>
      <w:r>
        <w:t>GE Cour de justice, 2022-05-30, FR</w:t>
      </w:r>
    </w:p>
    <w:p>
      <w:r>
        <w:rPr>
          <w:b/>
        </w:rPr>
        <w:t xml:space="preserve">Quelle: </w:t>
      </w:r>
      <w:r>
        <w:t>https://mcp.opencaselaw.ch/entscheid/ge_gerichte_ATAS_504_2022</w:t>
      </w:r>
    </w:p>
    <w:p>
      <w:r>
        <w:t>FR: GE_GERICHTE ATAS/504/2022 du 30 mai 2022</w:t>
      </w:r>
    </w:p>
    <w:p>
      <w:r>
        <w:t>IT: GE_GERICHTE ATAS/504/2022 del 30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Le 1er janvier 2022, sont entrées en vigueur les modifications de la LAI du 19 juin 2020 (développement continu de l’AI ; RO 2021 705).</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du 11 juin 2020 a été rendue antérieurement au 1er janvier 2022, de sorte que les dispositions légales applicables seront citées dans leur ancienne teneur.</w:t>
      </w:r>
    </w:p>
    <w:p>
      <w:r>
        <w:rPr>
          <w:b/>
        </w:rPr>
        <w:t>E. 4.2</w:t>
      </w:r>
    </w:p>
    <w:p>
      <w:r>
        <w:t>Compte tenu de la date de la décision administrative en cause, qui détermine l'application dans le temps des règles légales au présent litige (ATF 130 V 447 consid. 1.2.1 ; ATF 127 V 467 consid. 1), il y a également lieu de tenir compte de</w:t>
      </w:r>
    </w:p>
    <w:p>
      <w:r>
        <w:t>A/2051/2020 - 7/19 -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sur l'assurance-invalidité du 17 janvier 1961 (RAI - RS 831.201) dans sa teneur du 1er décembre 2017 est applicable, eu égard au traitement uniforme et égal des assurés, à partir de l'entrée en vigueur de cette modification (arrêt du Tribunal fédéral 9C_553/2017 du 18 décembre 2017 consid. 5 et 6.2). Le droit éventuel aux prestations doit être examiné au regard de l'ancien droit pour la période jusqu'au 31 décembre 2017, et, après le 1er janvier 2018 en fonction des modifications susmentionnées (cf. ATAS/435/2019 du 13 mai 2019 consid. 10).</w:t>
      </w:r>
    </w:p>
    <w:p>
      <w:r>
        <w:rPr>
          <w:b/>
        </w:rPr>
        <w:t>E. 5</w:t>
      </w:r>
    </w:p>
    <w:p>
      <w:r>
        <w:t>Le délai de recours est de trente jours (art. 56 et 60 LPGA ; art. 62 al. 1 let. a de la loi sur la procédure administrative du 12 septembre 1985 [LPA - E 5 10]). Interjeté dans la forme (art. 61 let. b LPGA) et le délai prévus par la loi, le recours est recevable.</w:t>
      </w:r>
    </w:p>
    <w:p>
      <w:r>
        <w:rPr>
          <w:b/>
        </w:rPr>
        <w:t>E. 6</w:t>
      </w:r>
    </w:p>
    <w:p>
      <w:r>
        <w:t>Le litige porte, dans le cadre de la nouvelle demande de prestations du 28 juillet 2017, sur le droit de la recourante à une rente d'invalidité.</w:t>
      </w:r>
    </w:p>
    <w:p>
      <w:r>
        <w:rPr>
          <w:b/>
        </w:rPr>
        <w:t>E. 7</w:t>
      </w:r>
    </w:p>
    <w:p>
      <w:r>
        <w:t>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w:t>
      </w:r>
    </w:p>
    <w:p>
      <w:r>
        <w:t>A/2051/2020 - 8/19 - l'examen d'une modification du degré d'invalidité lors d'une nouvelle révision de la rente (ATF 133 V 108 consid. 5.4 ; ATF 130 V 343 consid. 3.5.2).</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9</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10</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w:t>
      </w:r>
    </w:p>
    <w:p>
      <w:r>
        <w:t>A/2051/2020 - 9/19 -</w:t>
      </w:r>
    </w:p>
    <w:p>
      <w:r>
        <w:rPr>
          <w:b/>
        </w:rPr>
        <w:t>E. 10.1</w:t>
      </w:r>
    </w:p>
    <w:p>
      <w:r>
        <w:t>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L’activité lucrative et les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rPr>
          <w:b/>
        </w:rPr>
        <w:t>E. 10.2</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w:t>
      </w:r>
    </w:p>
    <w:p>
      <w:r>
        <w:t>A/2051/2020 - 10/19 -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w:t>
      </w:r>
    </w:p>
    <w:p>
      <w:r>
        <w:t>A/2051/2020 - 11/19 - fédéral 9C_625/2017 du 26 mars 2018 consid. 6.2 et arrêt du Tribunal fédéral des assurances I.733/06 du 16 juillet 2007).</w:t>
      </w:r>
    </w:p>
    <w:p>
      <w:r>
        <w:rPr>
          <w:b/>
        </w:rPr>
        <w:t>E. 12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I.786/04 du 19 janvier 2006 consid. 3.1).</w:t>
      </w:r>
    </w:p>
    <w:p>
      <w:r>
        <w:rPr>
          <w:b/>
        </w:rPr>
        <w:t>E. 12.1</w:t>
      </w:r>
    </w:p>
    <w:p>
      <w:r>
        <w:t>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12.2</w:t>
      </w:r>
    </w:p>
    <w:p>
      <w:r>
        <w:t>Le Tribunal fédéral a modifié sa pratique lors de l'examen du droit à une rente d'invalidité en cas de troubles psychiques (ATF 143 V 409 consid. 4.5 et ATF 143 V 418 consid. 6 et 7 du 30 novembre 2017).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en cas de troubles dépressifs de degré léger ou moyen (ATF 143 V 409 consid. 4.5.1). En effet, celles-ci ne peuvent en principe être déterminées ou prouvées sur la base de critères objectifs que de manière limitée (ATAS/945/2018 du 17 octobre 2018 consid. 6b).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w:t>
      </w:r>
    </w:p>
    <w:p>
      <w:r>
        <w:t>A/2051/2020 - 12/19 - survenance des restrictions alléguées dans les différents domaines de la vie (travail et loisirs ; ATAS/676/2019 du 26 juillet 2019 consid. 10a).</w:t>
      </w:r>
    </w:p>
    <w:p>
      <w:r>
        <w:rPr>
          <w:b/>
        </w:rPr>
        <w:t>E. 12.3</w:t>
      </w:r>
    </w:p>
    <w:p>
      <w:r>
        <w:t>Les principes jurisprudentiels développés en matière de troubles somatoformes douloureux sont également applicables à la fibromyalgie (ATF 132 V 65 consid. 4.1).</w:t>
      </w:r>
    </w:p>
    <w:p>
      <w:r>
        <w:rPr>
          <w:b/>
        </w:rPr>
        <w:t>E. 13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13.1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13.2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t>A/2051/2020 - 13/19 -</w:t>
      </w:r>
    </w:p>
    <w:p>
      <w:r>
        <w:rPr>
          <w:b/>
        </w:rPr>
        <w:t>E. 13.3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13.5</w:t>
      </w:r>
    </w:p>
    <w:p>
      <w:r>
        <w:t>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t>A/2051/2020 - 14/19 -</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16</w:t>
      </w:r>
    </w:p>
    <w:p>
      <w:r>
        <w:t>En l'espèce, il convient de déterminer si l'état de santé de la recourante s'est péjoré entre le 10 janvier 2014, date de la décision rejetant la première demande de prestations ‒ confirmée par le Tribunal fédéral le 14 septembre 2016 (9C_34/2016) ‒, et le 11 juin 2020, date de la décision querellée mettant la recourante au bénéfice d'un quart de rente dès le 1er janvier 2018 en application de la nouvelle méthode de calcul du degré d’invalidité d’une personne ayant un statut mixte (art. 27bis RAI en vigueur depuis le 1er janvier 2018).</w:t>
      </w:r>
    </w:p>
    <w:p>
      <w:r>
        <w:rPr>
          <w:b/>
        </w:rPr>
        <w:t>E. 16.1</w:t>
      </w:r>
    </w:p>
    <w:p>
      <w:r>
        <w:t>À l'époque, sur le plan somatique, la recourante présentait, avec répercussion sur sa capacité de travail, une gonarthrose tricompartimentale bilatérale à prédominance gauche et à prédominance fémoro-patellaire interne avec une ostéochondromatose, un status après ostéotomie de valgisation des deux genoux, un status après l’ablation du matériel d'ostéosynthèse du genou gauche, des lombalgies et accessoirement des cervico-scapulalgies droites dans le cadre de</w:t>
      </w:r>
    </w:p>
    <w:p>
      <w:r>
        <w:t>A/2051/2020 - 15/19 - troubles statiques et dégénératifs du rachis avec spondylolisthésis de L4/L5 de degré I sur une arthrose interapophysaire postérieure et une épicondylite gauche. Sa capacité de travail était de 50 % dans une activité adaptée respectant les limitations fonctionnelles retenues par le Dr B______, rhumatologue, en lien avec les pathologies ostéoarticulaires, depuis fin 2007 (rapport d'examen du</w:t>
      </w:r>
    </w:p>
    <w:p>
      <w:r>
        <w:rPr>
          <w:b/>
        </w:rPr>
        <w:t>E. 16.2</w:t>
      </w:r>
    </w:p>
    <w:p>
      <w:r>
        <w:t>La décision querellée du 11 juin 2020 se fonde, quant à elle, sur l'avis du SMR du 1er avril 2020, lui-même basé sur le rapport d'expertise rhumato-psychiatrique du 19 mars 2020 établi par les Drs E______, psychiatre, et F______, rhumatologue.</w:t>
      </w:r>
    </w:p>
    <w:p>
      <w:r>
        <w:rPr>
          <w:b/>
        </w:rPr>
        <w:t>E. 16.2.1</w:t>
      </w:r>
    </w:p>
    <w:p>
      <w:r>
        <w:t>Sur le plan psychique, le Dr E______, qui a étudié les pièces médicales au dossier, exposé l'anamnèse, relaté les plaintes de la recourante, procédé à l'examen clinique de cette dernière et fait état de ses constatations, a expliqué les motifs pour lesquels il retenait les diagnostics de trouble anxieux, autres réactions à un facteur de stress (F43.8), de dysthymie (F34.1) et de syndrome douloureux somatoforme persistant (F45.4), puis s'écartait de l'appréciation des psychiatres traitants (dossier AI, p. 948-949).</w:t>
      </w:r>
    </w:p>
    <w:p>
      <w:r>
        <w:rPr>
          <w:b/>
        </w:rPr>
        <w:t>E. 16.2.1.1</w:t>
      </w:r>
    </w:p>
    <w:p>
      <w:r>
        <w:t>Dès lors que l'expert a posé des diagnostics psychiatriques, il convient d'apprécier leur incidence sur la capacité de travail de la recourante au regard des indicateurs déterminants définis dans l’ATF 141 V 281 (consid. 12 ci-dessus).</w:t>
      </w:r>
    </w:p>
    <w:p>
      <w:r>
        <w:rPr>
          <w:b/>
        </w:rPr>
        <w:t>E. 16.2.1.2</w:t>
      </w:r>
    </w:p>
    <w:p>
      <w:r>
        <w:t>S’agissant de la catégorie « degré de gravité fonctionnelle », le Dr E______ a indiqué les limitations fonctionnelles causées par le trouble anxieux (découragement, sentiment d'incapacité, démotivation, indécision, réduction de la capacité créative, risque accru d'erreurs, besoin d'encadrement accru [p. 948, 951]), en précisant que l'anxiété était d'intensité moyenne, la dépression d'intensité faible, sans troubles cognitifs (p. 945-946) et que la recourante, qui présentait des difficultés d'acculturation, majorait ses plaintes (p. 948). S’agissant du « succès du traitement et de la réadaptation », la recourante, qui prend un traitement psychotrope et anxiolytique sous forme de Stilnox et Xanax, consulte son psychiatre traitant et son psychologue à raison de deux fois par mois (p. 944). Elle n’a pas été hospitalisée en milieu psychiatrique (p. 938) et il ne</w:t>
      </w:r>
    </w:p>
    <w:p>
      <w:r>
        <w:t>A/2051/2020 - 16/19 - ressort pas du dossier qu’elle serait confrontée à un échec de toute thérapie médicalement indiquée. S’agissant des « comorbidités », comme on le verra plus loin, ni les troubles psychiques, ni les troubles somatiques ne privent la recourante de certaines ressources (cf. arrêt du Tribunal fédéral 9C_756/2018 du 17 avril 2019 consid. 5.2.3). S’agissant du complexe de « la personnalité », ni le psychiatre traitant ni le Dr E______ ne retiennent un trouble spécifique de la personnalité au sens d’une classification diagnostique reconnue (p. 664, 846, 948-949). Pour ce qui est du « contexte social », la recourante, qui vit avec sa fille cadette et son petit-fils âgé de 8 ans (p. 942), garde également des contacts avec son autre fille (p. 943) et a des amis qui la soutiennent (p. 943, 950). Son contexte social et familial lui procure donc des ressources mobilisables. En ce qui concerne la catégorie « cohérence », le Dr E______ a relevé une divergence entre les symptômes décrits (humeur anxieuse et dépressive d'intensité forte) et l'examen clinique (humeur anxieuse d'intensité moyenne et humeur dépressive d'intensité faible). Les atteintes à la santé ne limitent la recourante que partiellement dans l’exécution de ses travaux habituels. Si la polyarthrose peut expliquer la délégation des tâches ménagères à la fille (p. 903), la recourante est néanmoins capable, de son aveu même, de faire quelques courses au supermarché, de se préparer à manger ou de se déplacer en bus seule (p. 941-942, 950), sans qu'elle ne soit limitée par une psychopathologie pour réaliser les activités quotidiennes (p. 949).</w:t>
      </w:r>
    </w:p>
    <w:p>
      <w:r>
        <w:rPr>
          <w:b/>
        </w:rPr>
        <w:t>E. 16.2.1.3</w:t>
      </w:r>
    </w:p>
    <w:p>
      <w:r>
        <w:t>En outre, le Dr E______ s'est distancié, à juste titre, de l'appréciation du psychiatre traitant (qui retenait un état post-traumatique complexe et une dépression, épisode moyen, totalement incapacitants [rapports du docteur H______ des 19 octobre 2017 et 8 juillet 2019, p. 664, 846]), puisque ce dernier se limitait à énumérer les plaintes subjectives de la recourante sans avoir indiqué si elles étaient confirmées de manière objective par le status psychiatrique (p. 949). Du reste, le Dr E______ rejoint l'avis ‒ probant (ATAS/910/2015 consid. 12) ‒ du Dr D______ s'agissant des diagnostics psychiques présentés par la recourante, lequel avait également retenu une dysthymie (trouble dépressif léger) et un trouble anxieux de gravité moyenne, et écarté ‒ à l'instar du Dr E______, mais à l'inverse du Dr H______ ‒ un état de stress post-traumatique (p. 483, 947). Il est vrai que le Dr E______ conclut à une capacité de travail de 90 % dans toute activité dès avril 2013 (p. 951), alors que le Dr D______ l'a évaluée à 70 % (p. 484). Cela ne porte toutefois pas à conséquence.</w:t>
      </w:r>
    </w:p>
    <w:p>
      <w:r>
        <w:t>A/2051/2020 - 17/19 - D'une part, contrairement à ce que fait valoir la recourante, il ne saurait être question de reconsidérer la décision du 10 janvier 2014 ‒ au motif que, selon le Dr E______, ses troubles psychiques entraînent une incapacité de travail de 10 %. De jurisprudence constante, l'administration n'est pas tenue de reconsidérer les décisions ; elle en a simplement la faculté et ni l'assuré, ni le juge ne peuvent l'y contraindre (ATF 117 V 8 consid. 2a et les références).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 ATF 133 V 50 consid. 4.1). Or, en l'espèce, deux autorités judiciaires (la chambre de céans et le Tribunal fédéral) se sont déjà prononcées sur le fond du litige relatif à la décision du 10 janvier 2014, qui est entrée en force le 14 septembre 2016 lorsque le Tribunal fédéral a admis le recours de l'intimé contre l'arrêt cantonal du 24 novembre 2015 (cf. art. 61 de la loi sur le Tribunal fédéral du 17 juin 2005 [LTF - RS 173.110]). La conclusion du Dr E______, en tant qu'il estime l'incapacité de travail à 10 %, ne constitue par ailleurs pas un motif de reconsidération, dès lors qu'il s'agit d'une appréciation différente de la même situation (arrêt du Tribunal fédéral 9C_412/2010 du 22 février 2011 consid. 3). Quand bien même l'incapacité de travail de la recourante sur le plan psychique d'après le Dr E______ (10 %) est inférieure à celle retenue par le Dr D______ (30 %), appréciation en défaveur de la recourante, cela à l'évidence importe peu, dans la mesure où, en tant que l'incapacité de travail résultant des atteintes somatiques est, comme on le verra plus loin, plus importante (à tout le moins 50 % dans une activité adaptée), c'est celle-ci qui en fin de compte impactera davantage l'incapacité de gain de la recourante (dans la sphère professionnelle).</w:t>
      </w:r>
    </w:p>
    <w:p>
      <w:r>
        <w:rPr>
          <w:b/>
        </w:rPr>
        <w:t>E. 16.2.1.4</w:t>
      </w:r>
    </w:p>
    <w:p>
      <w:r>
        <w:t>Au vu de ce qui précède, et en particulier de l'analyse des indicateurs jurisprudentiels, on doit admettre, avec le Dr E______, que la recourante est apte à exercer, dans une certaine mesure, une activité lucrative simple et répétitive ne requérant pas une grande capacité de prise de décision autonome (p. 951).</w:t>
      </w:r>
    </w:p>
    <w:p>
      <w:r>
        <w:rPr>
          <w:b/>
        </w:rPr>
        <w:t>E. 16.2.2</w:t>
      </w:r>
    </w:p>
    <w:p>
      <w:r>
        <w:t>Sur le plan somatique, la Dresse F______ a résumé les documents médicaux à sa disposition, exposé l’anamnèse de la recourante, relaté ses plaintes, posé des diagnostics et fait état de ses observations. Il n’en demeure pas moins que son expertise ne répond pas aux réquisits jurisprudentiels relatifs à la valeur probante. En effet, la Dresse F______ a constaté une restriction de mobilité importante aux deux genoux, relativement importante à l'épaule droite, modérée au rachis lombaire, ainsi qu'aux deux mains (p. 902). Elle admet, dans un premier temps, une capacité de travail de 50 % tant comme femme au foyer (activité ménagère) que dans une activité lucrative adaptée en position assise, avec un rendement d'environ 80 % au vu des douleurs et des restrictions de mobilité (p. 903). De</w:t>
      </w:r>
    </w:p>
    <w:p>
      <w:r>
        <w:t>A/2051/2020 - 18/19 - manière contradictoire, dans un deuxième temps, elle conclut à une capacité de travail de 20 % comme femme au foyer, et de 50 % dans une activité adaptée avec une baisse de rendement de 20 % en raison des douleurs et des restrictions de mobilité articulaire, ce depuis 2010 dans les deux activités ménagère et lucrative (p. 904-905). Il n'est donc pas clair si l'incapacité de travail dans la sphère ménagère est de 50 % ou de 80 %, et dans la sphère professionnelle de 50 % ou de 50 % avec une diminution de rendement de 20 % supplémentaire. Aussi ne saurait-on suivre le SMR, qui, dans son avis du 1er avril 2020, considère, sur la base de cette expertise, que la capacité de travail est toujours de 50 % dans une activité adaptée. La chambre de céans n'est partant pas en mesure de se prononcer sur le taux de capacité de travail résiduelle de la recourante, ni sur l'empêchement de cette dernière dans l’accomplissement des travaux habituels, d'autant moins que, dans le cadre de la nouvelle demande de prestations du 28 juillet 2017, motivée par l'aggravation de l'état de santé, l'intimé n'a pas mis en œuvre une enquête ménagère.</w:t>
      </w:r>
    </w:p>
    <w:p>
      <w:r>
        <w:rPr>
          <w:b/>
        </w:rPr>
        <w:t>E. 16.3</w:t>
      </w:r>
    </w:p>
    <w:p>
      <w:r>
        <w:t>En conséquence, il se justifie de renvoyer la cause à l'intimé afin qu'il mette sur pied une nouvelle expertise rhumatologique, puis une enquête ménagère. 17. Au vu de ce qui précède, le recours est partiellement admis, la décision du 11 juin 2020 annulée et la cause renvoyée à l'intimé afin qu'il procède conformément aux considérants, puis rende une nouvelle décision. 18. La recourante, représentée,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1'000.-. Au vu du sort du recours, il y a lieu de condamner l'intimé au paiement d'un émolument, fixé en l'espèce à CHF 200.- (art. 69 al. 1bis LAI). * * * * * *</w:t>
      </w:r>
    </w:p>
    <w:p>
      <w:r>
        <w:t>A/2051/2020 - 19/19 - PAR CES MOTIFS, LA CHAMBRE DES ASSURANCES SOCIALES : Statuant À la forme :</w:t>
      </w:r>
    </w:p>
    <w:p>
      <w:r>
        <w:rPr>
          <w:b/>
        </w:rPr>
        <w:t>E. 21</w:t>
      </w:r>
    </w:p>
    <w:p>
      <w:r>
        <w:t>janvier 2013). Sur le plan psychiatrique, la recourante souffrait, avec effet sur sa capacité de travail, d'une dysthymie, ainsi que d'un trouble anxieux de gravité moyenne, induisant une incapacité de travail de 30 % (rapport du Dr D______ du 24 juillet 2015). Dans le cadre de la procédure de recours contre la décision du 10 janvier 2014, sur la base de ces rapports, il avait été conclu que la recourante était apte à exercer une activité adaptée à 50 % en raison de ses atteintes somatiques et psychiques, entraînant un degré d'invalidité de 38 % selon la méthode mixte (arrêt du Tribunal fédéral 9C_34/2016 précité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