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ATAS/504/2008 vom 29. April 2008</w:t>
      </w:r>
    </w:p>
    <w:p>
      <w:r>
        <w:t>GE Cour de justice, 2008-04-29, FR</w:t>
      </w:r>
    </w:p>
    <w:p>
      <w:r>
        <w:rPr>
          <w:b/>
        </w:rPr>
        <w:t xml:space="preserve">Quelle: </w:t>
      </w:r>
      <w:r>
        <w:t>https://mcp.opencaselaw.ch/entscheid/ge_gerichte_ATAS_504_2008</w:t>
      </w:r>
    </w:p>
    <w:p>
      <w:r>
        <w:t>FR: GE_GERICHTE ATAS/504/2008 du 29 avril 2008</w:t>
      </w:r>
    </w:p>
    <w:p>
      <w:r>
        <w:t>IT: GE_GERICHTE ATAS/504/2008 del 29 aprile 2008</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relatives à la loi sur l’assurance-invalidité du 19 juin 1959 (LAI). Sa compétence pour juger du cas d’espèce est ainsi établie.</w:t>
      </w:r>
    </w:p>
    <w:p>
      <w:r>
        <w:rPr>
          <w:b/>
        </w:rPr>
        <w:t>E. 1.2</w:t>
      </w:r>
    </w:p>
    <w:p>
      <w:r>
        <w:t>; 169 consid. 1 ; 356 consid. 1 et les arrêts cités). Ces principes de droit intertemporel commandent ainsi l'examen du bien-fondé de la décision du 1er novembre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est applicable sans réserve dès le jour de son entrée en vigueur (ATF 117 V 93 consid. 6b; 112 V 360 consid. 4a; RAMA 1998 KV 37 p. 316 consid. 3b).</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w:t>
      </w:r>
    </w:p>
    <w:p>
      <w:r>
        <w:rPr>
          <w:b/>
        </w:rPr>
        <w:t>E. 3</w:t>
      </w:r>
    </w:p>
    <w:p>
      <w:r>
        <w:t>Le Tribunal de céans constate que le recours, interjeté dans les formes et délai légaux, est recevable à la forme, conformément à l’art. 60 LPGA.</w:t>
      </w:r>
    </w:p>
    <w:p>
      <w:r>
        <w:rPr>
          <w:b/>
        </w:rPr>
        <w:t>E. 4</w:t>
      </w:r>
    </w:p>
    <w:p>
      <w:r>
        <w:t>Il convient en l’occurrence d’établir si le recourant présente un degré d'invalidité qui lui ouvre droit à des prestations.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w:t>
      </w:r>
    </w:p>
    <w:p>
      <w:r>
        <w:t>A/4489/2006 - 9/14 -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A/4489/2006 - 10/14 - appréciation des preuves, le Tribunal fédéral des assurances a posé des lignes directrices en ce qui concerne la manière d'apprécier certains types d'expertises ou de rapports médicaux (ATF 125 V 352 ss consid. 3).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Il y a enfin lieu de rappeler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w:t>
      </w:r>
    </w:p>
    <w:p>
      <w:r>
        <w:t>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w:t>
      </w:r>
    </w:p>
    <w:p>
      <w:r>
        <w:t>A/4489/2006 - 11/14 - Schweizerisches Bundesverwaltungsrecht [SBVR], Soziale Sicherheit, 2ème édition, ch. 153 et la note n° 210).</w:t>
      </w:r>
    </w:p>
    <w:p>
      <w:r>
        <w:rPr>
          <w:b/>
        </w:rPr>
        <w:t>E. 7</w:t>
      </w:r>
    </w:p>
    <w:p>
      <w:r>
        <w:t>En l'occurrence, se trouvent au dossier de l'OCAI plusieurs rapports des médecins traitants, notamment du Dr E__________, ainsi qu'une expertise du SMR de mai 2006 et une expertise judiciaire du Dr H__________ de juillet 2008. Le Tribunal de céans a en effet ordonné cette expertise auprès du Dr H__________, dont le nom a été soumis aux parties avant qu'il ne la lui confie, en raison des rapports du Dr E__________ qui jetaient un doute sur les conclusions de l'examen psychiatrique du SMR.</w:t>
      </w:r>
    </w:p>
    <w:p>
      <w:r>
        <w:t>Il convient dès lors tout d'abord d'examiner la valeur probante de l'expertise du Dr H__________, dernière en date, et comme il a été dit, expertise judiciaire. Il apparaît à la lecture que cette expertise est complète et précise. Elle comporte un résumé des documents médicaux qui se trouvent au dossier et sur lesquels l'expert s'est appuyé, une anamnèse détaillée; elle tient compte des plaintes de l'expertisé et pose des diagnostics précis. En outre, l'expert explique pourquoi il ne retient pas tel ou tel diagnostic par rapport à ses confrères. Ses conclusions sont enfin bien motivées et l'expert répond aux questions posées par le Tribunal de céans. Par ailleurs, ce médecin a eu connaissance des rapports de sortie de la Clinique psychiatrique, ainsi que de l'expertise du professeur F__________, effectuée dans le cadre de l'inculpation du recourant et axée sur la question de sa responsabilité pénale et non sur celle de sa capacité de travail. Sur la base de ces éléments, le Tribunal de céans constate que l'expertise du Dr H__________ a pleine valeur probante au sens de la jurisprudence fédérale et ses conclusions devront être suivies. En outre, les rapports subséquents du Dr E__________, médecin interniste traitant, ne permettent pas de mettre en doute les conclusions de cet expert, qui rejoignent d'ailleurs celles du Dr C___________ du SMR. En effet, l'avis du Dr E__________ a moindre valeur probante que celui de l'expert pour deux raisons. D'une part, il est médecin traitant et uni au recourant par une relation de confiance, ce qui le pousse à une moins grande impartialité. D'autre part, il n'est pas spécialiste en psychiatrie, mais médecin interniste, contrairement à l'expert. Enfin, l'argument du recourant, selon lequel ni le Dr H__________, ni le Dr C___________ n'aurait de connaissances suffisantes en matière de patients toxicodépendants doit être écarté. En effet, dans sa pratique à la Clinique de réhabilitation de la SUVA notamment, l'expert H__________ a eu l'occasion d'être confronté à des cas de toxicodépendance. En outre, son expertise est motivée et convaincante et l'on ne voit aucune lacune ou développement pouvant faire penser qu'il n'était pas apte à expertiser le recourant. Enfin, il convient de relever que l'assuré n'a émis aucune remarque s'agissant du choix de l'expert et l'on ne voit d'ailleurs pas quels motifs de récusation, s'agissant de cette question, il aurait pu faire valoir.</w:t>
      </w:r>
    </w:p>
    <w:p>
      <w:r>
        <w:t>Partant, conformément aux conclusions de l'expert, il y a lieu de constater que le</w:t>
      </w:r>
    </w:p>
    <w:p>
      <w:r>
        <w:t>A/4489/2006 - 12/14 - recourant présente un trouble dépendance au cannabis, un trouble dépendance aux benzodiazépines traité par agonistes, un trouble dépendance aux opiacés traité par agonistes, ainsi qu'une personnalité antisociale. Selon l'expert, dont l'avis convainc parce qu'il est motivé, le recourant ne présente plus de troubles de la personnalité borderline. Ce fait est établi par sa stabilité depuis sa sortie de prison en 2002, notamment quant à l'absence d'infractions, au fait que sa dépendance est maîtrisée et traitée par substitution, au fait qu'il a repris un certain temps une activité lucrative à la poste, et à la relation stable qu'il entretient avec son amie, notamment. Selon l'expert, l'assuré a beaucoup de ressources et il est exigible qu'il reprenne son activité antérieure de mécanicien sur automobile à plein temps. Dès lors, sa capacité de travail est complète. L'expert précise également que l'on est loin, dans ce cas, des pathologies qui pourraient justifier une incapacité de travail.</w:t>
      </w:r>
    </w:p>
    <w:p>
      <w:r>
        <w:t>En résumé, malgré les contestations de l'expertise du Dr H__________ par le recourant et son médecin traitant, le Tribunal de céans retiendra celle-ci au détriment des rapports du Dr E__________, pour les raisons suivantes. Ce dernier n'est pas spécialiste en psychiatrie, contrairement à l'expert H__________, l'expertise judiciaire est complète, claire, bien motivée et convaincante et le recourant n'a pas, alors que le nom de l'expert lui était proposé, soulevé de remarques quant à sa spécialité et lui a au contraire soumis plusieurs questions qu'il souhaitait lui poser. Par ailleurs, il est relevé, que selon la jurisprudence fédérale, la toxicomanie n'est considérée comme invalidante que si elle est la cause ou la conséquence d'une maladie invalidante. Or, en l'occurrence, le trouble de la personnalité dont est atteint le recourant, à savoir une personnalité dyssociale - sur lequel le Dr H__________ est tout à fait à même de se prononcer, en raison même de sa spécialité et auquel le Dr E__________ a finalement adhéré- ne peut être considéré comme invalidant, au sens de la LAI. Ainsi, il convient de constater que le recourant ne présente pas d'incapacité de travail et qu'il est apte à exercer son ancienne activité, soit celle de mécanicien sur automobile. Partant, il n'a pas droit à des prestations d'invalidité, à l'exception d'une aide au placement, s'il en fait la demande. Au vu de ce qui précède, le recours, mal fondé, sera rejeté.</w:t>
      </w:r>
    </w:p>
    <w:p>
      <w:r>
        <w:rPr>
          <w:b/>
        </w:rPr>
        <w:t>E. 8</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A/4489/2006 - 13/14 -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