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ATAS/503/2023 vom 28. Juni 2023</w:t>
      </w:r>
    </w:p>
    <w:p>
      <w:r>
        <w:t>GE Cour de justice, 2023-06-28, FR</w:t>
      </w:r>
    </w:p>
    <w:p>
      <w:r>
        <w:rPr>
          <w:b/>
        </w:rPr>
        <w:t xml:space="preserve">Quelle: </w:t>
      </w:r>
      <w:r>
        <w:t>https://mcp.opencaselaw.ch/entscheid/ge_gerichte_ATAS_503_2023</w:t>
      </w:r>
    </w:p>
    <w:p>
      <w:r>
        <w:t>FR: GE_GERICHTE ATAS/503/2023 du 28 juin 2023</w:t>
      </w:r>
    </w:p>
    <w:p>
      <w:r>
        <w:t>IT: GE_GERICHTE ATAS/503/2023 del 28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ss LPGA).</w:t>
      </w:r>
    </w:p>
    <w:p>
      <w:r>
        <w:rPr>
          <w:b/>
        </w:rPr>
        <w:t>E. 3</w:t>
      </w:r>
    </w:p>
    <w:p>
      <w:r>
        <w:t>Le litige porte sur le bien-fondé de la décision sur opposition de l’intimée du 31 mars 2023, réclamant à la société le remboursement de CHF 13'000.-, correspondant aux AIT perçues du 1er mars au 30 juin 2022.</w:t>
      </w:r>
    </w:p>
    <w:p>
      <w:r>
        <w:rPr>
          <w:b/>
        </w:rPr>
        <w:t>E. 4.1.1</w:t>
      </w:r>
    </w:p>
    <w:p>
      <w:r>
        <w:t>D’après l’art. 1a al. 2 LACI, les buts de cette loi consistent entre autres à prévenir le chômage imminent, à combattre le chômage existant et à favoriser l’intégration rapide et durable des assurés dans le marché du travail. Afin d’atteindre les buts précités, le législateur a notamment instauré les mesures relatives au marché du travail (art. 59 ss LACI). Aux termes de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(al. 2).</w:t>
      </w:r>
    </w:p>
    <w:p>
      <w:r>
        <w:rPr>
          <w:b/>
        </w:rPr>
        <w:t>E. 4.1.2</w:t>
      </w:r>
    </w:p>
    <w:p>
      <w:r>
        <w:t>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w:t>
      </w:r>
    </w:p>
    <w:p>
      <w:r>
        <w:t>A/1243/2023 - 4/7 -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w:t>
      </w:r>
    </w:p>
    <w:p>
      <w:r>
        <w:rPr>
          <w:b/>
        </w:rPr>
        <w:t>E. 4.1.3</w:t>
      </w:r>
    </w:p>
    <w:p>
      <w:r>
        <w:t>Aux termes de l'art. 90 al. 3 de l'ordonnance sur l'assurance-chômage obligatoire et l'indemnité en cas d'insolvabilité du 31 août 1983 (ordonnance sur l’assurance-chômage, OACI - RS 837.02),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C 14/02 du 10 juillet 2002 ; André GRISEL, Traité de droit administratif, vol. I, p. 408 ss ; Ulrich HÄFELIN / Georg MÜLLER, Grundriss des Allgemeinen Verwaltungsrechts, 3ème éd., Zurich, 1998, p. 186 ss). Dans un arrêt C 15/05 du 23 mars 2006, le Tribunal fédéral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t>A/1243/2023 - 5/7 -</w:t>
      </w:r>
    </w:p>
    <w:p>
      <w:r>
        <w:rPr>
          <w:b/>
        </w:rPr>
        <w:t>E. 4.1.4</w:t>
      </w:r>
    </w:p>
    <w:p>
      <w:r>
        <w:t>Selon le Bulletin LACI/MMT J 27, janvier 2019, du Secrétariat d’État à l’économie (SECO), l’employeur s’engage à remplir un certain nombre d’obligations. Afin que l’employeur soit parfaitement informé, il est ainsi recommandé d’introduire une clause dans la « Demande et confirmation relative à l’initiation au travail qui protège les assurés contre les licenciements pendant les AIT et/ou durant une période après l'échéance des AIT ». Cela signifie que le contrat de travail ne peut être résilié durant les périodes précitées. L’employeur peut ainsi être tenu de restituer les allocations perçues si les rapports de travail sont résiliés sans justes motifs selon le code des obligations avant l’échéance du délai indiqué par l'autorité compétente ; cette restitution s’opère conformément à l’art. 95 al. 1 LACI.</w:t>
      </w:r>
    </w:p>
    <w:p>
      <w:r>
        <w:rPr>
          <w:b/>
        </w:rPr>
        <w:t>E. 4.1.5</w:t>
      </w:r>
    </w:p>
    <w:p>
      <w:r>
        <w:t>Les décisions relatives à la suspension du droit à l’AIT au sens des art. 1a al. 2, 7, 59 ss, 65, 66 LACI et 90 OACI sont de la compétence exclusive de l’autorité cantonale, singulièrement de l’office régional de placement ; la caisse cantonale de chômage ne peut se prononcer sur le bien-fondé d’une telle décision. Lorsqu’une décision entrée en force (sanction, etc.) débouche sur une demande de restitution des prestations touchées indûment, une contestation portant sur la décision demandant la restitution ne peut être étendue à l’examen de la validité de la décision entrée en force, sauf motif de nullité de celle-ci (arrêt du Tribunal fédéral C 285/01 du 4 septembre 2002 consid. 2 ; Boris RUBIN, Commentaire de la loi sur l’assurance-chômage, 2014, n. 5 ad art. 100 LACI).</w:t>
      </w:r>
    </w:p>
    <w:p>
      <w:r>
        <w:rPr>
          <w:b/>
        </w:rPr>
        <w:t>E. 4.2.1</w:t>
      </w:r>
    </w:p>
    <w:p>
      <w:r>
        <w:t>En vertu de l'art. 95 al. 1 LACI, en relation avec l'art. 25 LPGA, la caisse doit exiger la restitution de prestations indûment versées, si les conditions d'une reconsidération ou d'une révision procédurale soient réalisées (ATF 129 V 110 consid. 1.1). À teneur de l’art. 25 al. 1 LPGA, les prestations indûment touchées doivent être restituées. Ce principe général est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w:t>
      </w:r>
    </w:p>
    <w:p>
      <w:r>
        <w:rPr>
          <w:b/>
        </w:rPr>
        <w:t>E. 4.2.2</w:t>
      </w:r>
    </w:p>
    <w:p>
      <w:r>
        <w:t>En vertu de l'art. 25 al. 2 phr. 1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et les références; ATF 142 V 20 consid. 3.2.2 et les</w:t>
      </w:r>
    </w:p>
    <w:p>
      <w:r>
        <w:t>A/1243/2023 - 6/7 -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Le délai de péremption absolu de cinq ans commence à courir à la date du versement effectif de la prestation, et non à la date à laquelle elle aurait dû être fournie (ATF 112 V 180 consid. 4a et les références). Le délai de péremption relatif de trois ans commence à courir dès le moment où l'administration aurait dû connaître les faits fondant l'obligation de restituer, en faisant preuve de l'attention que l'on pouvait raisonnablement exiger d'elle (ATF 148 V 217 consid. 5.1.1 et les références; ATF 140 V 521 consid. 2.1 et les références; ATF 139 V 6 consid. 4.1 et les références).</w:t>
      </w:r>
    </w:p>
    <w:p>
      <w:r>
        <w:rPr>
          <w:b/>
        </w:rPr>
        <w:t>E. 5.1</w:t>
      </w:r>
    </w:p>
    <w:p>
      <w:r>
        <w:t>En l’espèce, l’OCE a révoqué la décision d’octroi des AIT à la recourante par décision du 7 octobre 2022, qui a été confirmée par décision sur opposition du</w:t>
      </w:r>
    </w:p>
    <w:p>
      <w:r>
        <w:rPr>
          <w:b/>
        </w:rPr>
        <w:t>E. 9</w:t>
      </w:r>
    </w:p>
    <w:p>
      <w:r>
        <w:t>janvier 2023. Cette dernière décision n’ayant pas fait l’objet d’un recours, elle est entrée en force. La recourante n’invoque pas un cas de révision ou de reconsidération qui permettrait la remettre en cause. Il en résulte qu’il est ainsi suffisamment établi que les indemnités versées à la recourante ne lui étaient plus dues dès la révocation des AIT et que l’intimée était dès lors fondée à en réclamer la restitution. Il n’est pas contesté que le montant de CHF 13'000.- correspond aux indemnités versées à tort. L’intimée a demandé la restitution le 12 octobre 2022, soit très peu de temps après que l’OCE a révoqué le droit aux AIT, le 7 octobre 2022, soit dans les délais de prescription relatif et absolu. Il s’ensuit que la décision de restitution de l’intimée doit être confirmée. 6. Selon l’art. 25 al. 1 2e phr. LPGA, la restitution ne peut être exigée lorsque l'intéressé était de bonne foi et qu'elle le mettrait dans une situation financière difficile. La recourante pourra en application de cette disposition demander à l’intimée la remise de l'obligation de restituer la somme réclamée une fois le présent arrêt entré en force de chose jugée (arrêt du Tribunal fédéral 8C_799/2017). 7. Infondé, le recours doit être rejeté et la décision sur opposition de l’intimée du 31 mars 2023 confirmée. Pour le surplus, la procédure est gratuite (art. 61 let. fbis LPGA a contrario).</w:t>
      </w:r>
    </w:p>
    <w:p>
      <w:r>
        <w:t>A/1243/2023 - 7/7 -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