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ATAS/503/2018 vom 7. Juni 2018</w:t>
      </w:r>
    </w:p>
    <w:p>
      <w:r>
        <w:t>GE Cour de justice, 2018-06-07, FR</w:t>
      </w:r>
    </w:p>
    <w:p>
      <w:r>
        <w:rPr>
          <w:b/>
        </w:rPr>
        <w:t xml:space="preserve">Quelle: </w:t>
      </w:r>
      <w:r>
        <w:t>https://mcp.opencaselaw.ch/entscheid/ge_gerichte_ATAS_503_2018</w:t>
      </w:r>
    </w:p>
    <w:p>
      <w:r>
        <w:t>FR: GE_GERICHTE ATAS/503/2018 du 7 juin 2018</w:t>
      </w:r>
    </w:p>
    <w:p>
      <w:r>
        <w:t>IT: GE_GERICHTE ATAS/503/2018 del 7 giugno 2018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A/1452/2018 ATAS/503/2018 COUR DE JUSTICE Chambre des assurances sociales Arrêt du 7 juin 2018 3ème Chambre</w:t>
      </w:r>
    </w:p>
    <w:p>
      <w:r>
        <w:t>En la cause Madame A______, domiciliée à CHÂTELAINE, comparant avec élection de domicile en l'étude de Maître Marco ROSSI</w:t>
      </w:r>
    </w:p>
    <w:p>
      <w:r>
        <w:t>recourante</w:t>
      </w:r>
    </w:p>
    <w:p>
      <w:r>
        <w:t>contre CAISSE CANTONALE GENEVOISE DE CHOMAGE, sise rue de Montbrillant 40, GENÈVE intimée</w:t>
      </w:r>
    </w:p>
    <w:p>
      <w:r>
        <w:t>A/1452/2018 - 2/2 - Vu la décision sur opposition du 14 mars 2018 de la Caisse cantonale genevoise de chômage ; Vu le recours interjeté le 1er mai 2018 par l’intéressée, Madame A______; Vu la réponse de l’intimée du 17 mai 2018, concluant à l’irrecevabilité du recours pour cause de tardiveté ; Attendu que, par courrier du 25 mai 2018, la recourante, par l’intermédiaire de son conseil, a retiré son recours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