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ATAS/502/2025 vom 30. Juni 2025</w:t>
      </w:r>
    </w:p>
    <w:p>
      <w:r>
        <w:t>GE Cour de justice, 2025-06-30, FR</w:t>
      </w:r>
    </w:p>
    <w:p>
      <w:r>
        <w:rPr>
          <w:b/>
        </w:rPr>
        <w:t xml:space="preserve">Quelle: </w:t>
      </w:r>
      <w:r>
        <w:t>https://mcp.opencaselaw.ch/entscheid/ge_gerichte_ATAS_502_2025</w:t>
      </w:r>
    </w:p>
    <w:p>
      <w:r>
        <w:t>FR: GE_GERICHTE ATAS/502/2025 du 30 juin 2025</w:t>
      </w:r>
    </w:p>
    <w:p>
      <w:r>
        <w:t>IT: GE_GERICHTE ATAS/502/2025 del 30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Le délai de recours est de trente jours (art. 56 LPGA ; art. 62 al. 1 de la loi sur la procédure administrative du 12 septembre 1985 - LPA - E 5 10). Interjeté dans la forme et le délai prévus par la loi, le recours est recevable.</w:t>
      </w:r>
    </w:p>
    <w:p>
      <w:r>
        <w:rPr>
          <w:b/>
        </w:rPr>
        <w:t>E. 2</w:t>
      </w:r>
    </w:p>
    <w:p>
      <w:r>
        <w:t>Le litige porte sur le droit de la recourante à des prestations de l’assurance-invalidité, plus particulièrement sur la question d’une éventuelle aggravation de son état de santé postérieure à la décision rendue le 19 mars 2018 susceptible de lui ouvrir droit à des prestations, ce qui pose la question de la valeur probante de l’expertise du CEMEDEX.</w:t>
      </w:r>
    </w:p>
    <w:p>
      <w:r>
        <w:rPr>
          <w:b/>
        </w:rPr>
        <w:t>E. 3</w:t>
      </w:r>
    </w:p>
    <w:p>
      <w:r>
        <w:t>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w:t>
      </w:r>
    </w:p>
    <w:p>
      <w:r>
        <w:t>A/2148/2024 - 5/20 -</w:t>
      </w:r>
    </w:p>
    <w:p>
      <w:r>
        <w:rPr>
          <w:b/>
        </w:rPr>
        <w:t>E. 3.1</w:t>
      </w:r>
    </w:p>
    <w:p>
      <w:r>
        <w:t>En l’occurrence, la décision querellée porte sur l’octroi d’une rente dont le droit serait né postérieurement au 31 décembre 2021, de sorte que les dispositions légales applicables seront citées dans leur nouvelle teneur.</w:t>
      </w:r>
    </w:p>
    <w:p>
      <w:r>
        <w:rPr>
          <w:b/>
        </w:rPr>
        <w:t>E. 4.1</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28b LAI,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la suivante (al. 4) : taux d’invalidité quotité de la rente 49% 47.5% 48% 45% 47% 42.5% 46% 40% 45% 37.5% 44% 35% 43% 32.5% 42% 30% 41% 27.5% 40% 25% Pour évaluer le taux d'invalidité, le revenu que l'assuré aurait pu obtenir s'il n'était pas invalide est comparé avec celui qu'il pourrait obtenir en exerçant l'activité qui peut raisonnablement être exigée de lui après les traitements et les mesures de</w:t>
      </w:r>
    </w:p>
    <w:p>
      <w:r>
        <w:t>A/2148/2024 - 6/20 - réadaptation, sur un marché du travail équilibré (art. 16 LPGA et art. 28 al. 2 LAI).</w:t>
      </w:r>
    </w:p>
    <w:p>
      <w:r>
        <w:rPr>
          <w:b/>
        </w:rPr>
        <w:t>E. 4.2</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5.1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w:t>
      </w:r>
    </w:p>
    <w:p>
      <w:r>
        <w:rPr>
          <w:b/>
        </w:rPr>
        <w:t>E. 5.2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nombre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Pour des motifs de proportionnalité, on peut renoncer à une appréciation selon la grille d’évaluation normative et structurée si elle n’est pas nécessaire ou si elle est</w:t>
      </w:r>
    </w:p>
    <w:p>
      <w:r>
        <w:t>A/2148/2024 - 7/20 -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(ATF 143 V 409 consid. 4.5.3 ; arrêts du Tribunal fédéral 8C_43/2023 du 29 novembre 2023 consid. 5.2 ; 9C_101/2019 du 12 juillet 2019 consid. 4.3 et la référence ; 9C_724/2018 du 11 juillet 2019 consid. 7). En l’absence d’un diagnostic psychiatrique, une telle appréciation n’a pas non plus à être effectuée (arrêt du Tribunal fédéral 9C_176/2018 du 16 août 2018 consid. 3.2.2).</w:t>
      </w:r>
    </w:p>
    <w:p>
      <w:r>
        <w:rPr>
          <w:b/>
        </w:rPr>
        <w:t>E. 5.3</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w:t>
      </w:r>
    </w:p>
    <w:p>
      <w:r>
        <w:t>A/2148/2024 - 8/20 -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6.1</w:t>
      </w:r>
    </w:p>
    <w:p>
      <w:r>
        <w:t>Lorsque la rente d'invalidité a été refusée parce que le degré d'invalidité était insuffisant, la nouvelle demande ne peut être examinée que si l'assuré rend plausible que son invalidité s'est modifiée de manière à influencer ses droits (art. 87 al. 2 et 3 RAI).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(ATF 133 V 108) ne se sont pas modifiées jusqu'au moment de la nouvelle décision, et que le degré d'invalidité n'a donc pas changé, elle rejette la demande de révision.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Il n'y a pas matière à révision lorsque les circonstances sont demeurées inchangées et que le motif de la suppression ou de la diminution de la rente réside uniquement dans une nouvelle appréciation du cas (ATF 141 V 9 consid. 2.3 ; 112 V 371 consid. 2b ; 112 V 387 consid. 1b).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130 V 343 consid. 3.5.2).</w:t>
      </w:r>
    </w:p>
    <w:p>
      <w:r>
        <w:t>A/2148/2024 - 9/20 -</w:t>
      </w:r>
    </w:p>
    <w:p>
      <w:r>
        <w:rPr>
          <w:b/>
        </w:rPr>
        <w:t>E. 6.2</w:t>
      </w:r>
    </w:p>
    <w:p>
      <w:r>
        <w:t>L’incapacité de gain peut s’aggraver par la survenance d’une nouvelle maladie ou par la détérioration de l’atteinte préexistante ainsi que par un changement de statut de l’assuré (ch. 4007 de la Circulaire sur l’invalidité et l’impotence dans l’assurance-invalidité [CIIAI]), dans sa teneur en vigueur au cours de la période litigieuse).</w:t>
      </w:r>
    </w:p>
    <w:p>
      <w:r>
        <w:rPr>
          <w:b/>
        </w:rPr>
        <w:t>E. 7.1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(arrêt du Tribunal fédéral 8C_286/2020 du 6 août 2020 consid. 4 et la référence).</w:t>
      </w:r>
    </w:p>
    <w:p>
      <w:r>
        <w:rPr>
          <w:b/>
        </w:rPr>
        <w:t>E. 7.2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7.2.1</w:t>
      </w:r>
    </w:p>
    <w:p>
      <w:r>
        <w:t>Ainsi, en principe, lorsqu’au stade de la procédure administrative, une expertise confiée à un médecin indépendant est établie par un spécialiste reconnu,</w:t>
      </w:r>
    </w:p>
    <w:p>
      <w:r>
        <w:t>A/2148/2024 - 10/20 -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7.2.2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7.2.3</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w:t>
      </w:r>
    </w:p>
    <w:p>
      <w:r>
        <w:rPr>
          <w:b/>
        </w:rPr>
        <w:t>E. 7.2.4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w:t>
      </w:r>
    </w:p>
    <w:p>
      <w:r>
        <w:t>A/2148/2024 - 11/20 -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8.2</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w:t>
      </w:r>
    </w:p>
    <w:p>
      <w:r>
        <w:rPr>
          <w:b/>
        </w:rPr>
        <w:t>E. 8.3</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no 49 p. 151 consid. 3.5 ; arrêt du Tribunal fédéral 8C_760/2011 du 26 janvier 2012 consid. 3).</w:t>
      </w:r>
    </w:p>
    <w:p>
      <w:r>
        <w:t>A/2148/2024 - 12/20 -</w:t>
      </w:r>
    </w:p>
    <w:p>
      <w:r>
        <w:rPr>
          <w:b/>
        </w:rPr>
        <w:t>E. 9.1</w:t>
      </w:r>
    </w:p>
    <w:p>
      <w:r>
        <w:t>En l’espèce, en septembre 2017, la recourante a déposé une première demande de prestations en raison d’une atteinte à la jambe gauche. Aucune atteinte psychique n’était alors évoquée. Par décision du 19 mars 2018, l’OAI a nié le droit à toute prestation, la recourante ayant recouvré une pleine capacité de travail en août 2017, de sorte qu’elle ne pouvait justifier d’une incapacité de travail pendant un an. En juin 2022, la recourante a saisi l’OAI d’une deuxième demande de prestations, cette fois en raison de douleurs dorsales, présentes depuis septembre 2021. À nouveau, aucune atteinte psychique n’était évoquée. Dans le cadre de l’instruction de cette demande, l’OAI a mandaté le CEMEDEX pour expertise. Sur la base des conclusions des Drs D______ et E______, l’OAI a rejeté la demande de prestations du mois de juin 2022. La recourante conteste, à tout le moins implicitement, la valeur probante du rapport d’expertise psychiatrique du 22 décembre 2023, en le critiquant sur plusieurs points. C’est donc la valeur probante du rapport précité qu’il convient d’examiner dans un premier temps.</w:t>
      </w:r>
    </w:p>
    <w:p>
      <w:r>
        <w:rPr>
          <w:b/>
        </w:rPr>
        <w:t>E. 9.2</w:t>
      </w:r>
    </w:p>
    <w:p>
      <w:r>
        <w:t>À cet égard, force est de constater que sur le plan formel, le rapport du Dr D______ du 22 décembre 2023 répond, de prime abord, aux réquisits jurisprudentiels en matière de valeur probante. Il contient en effet le résumé du dossier, une anamnèse, les indications subjectives de la recourante, des observations cliniques, ainsi qu'une discussion générale du cas. Ses conclusions, qui résultent d'une analyse complète de la situation médicale, semblent claires et bien motivées. Sur le fond, l’expert psychiatre a retenu un trouble dépressif récurrent, épisode actuel léger, sans syndrome somatique (F33.00), lequel se traduisait par une baisse d’intérêt, une perte d’élan vital, une humeur triste ainsi que des troubles de la concentration et du sommeil. En revanche, il a exclu un trouble de l’adaptation, un état de stress post-traumatique, une anxiété généralisée, une agoraphobie, un trouble panique, une addiction, un syndrome douloureux somatoforme ainsi qu’un trouble de la personnalité paranoïaque, anankastique, évitante, dépendante ou encore émotionnellement labile et en a expliqué les raisons (rapport d’expertise du 22 décembre 2023 p. 19 et 20). En raison de ce trouble dépressif, seule une activité sans prise de décision immédiate et sans traitement d’informations simultanées était envisageable, dès lors que la recourante présentait une sensibilité au stress et une fatigue. La capacité de travail de l’assurée dans son activité habituelle était de 80% avec une diminution de rendement de 20% dès juin 2021. Dans une activité adaptée, la capacité de travail de l’assurée était entière jusqu’à juin 2021, puis de 80% depuis lors.</w:t>
      </w:r>
    </w:p>
    <w:p>
      <w:r>
        <w:rPr>
          <w:b/>
        </w:rPr>
        <w:t>E. 9.3</w:t>
      </w:r>
    </w:p>
    <w:p>
      <w:r>
        <w:t>Lorsqu'une appréciation repose sur une évaluation médicale complète, il faut, pour la contester, faire état d'éléments objectivement vérifiables qui auraient été</w:t>
      </w:r>
    </w:p>
    <w:p>
      <w:r>
        <w:t>A/2148/2024 - 13/20 -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(arrêt du Tribunal fédéral 9C_618/2014 du 9 janvier 2015 consid. 6.2.3). À titre liminaire, la chambre de céans constate que la recourante n’a pas fourni de rapport émanant de son psychiatre traitant critiquant les conclusions du Dr D______ malgré ce qu’elle a annoncé dans ses déterminations des 13 mai et 8 novembre 2014. En particulier, le rapport du 5 septembre 2024, produit en annexe aux dernières déterminations, qui a été rédigé par un médecin dont l’identité et la spécialisation ne sont pas connues, porte principalement sur les atteintes somatiques, dont les répercussions sur la capacité de travail n’ont pas été critiquées par la recourante. En tout état, la possible capsulite rétractile évoquée dans ce rapport du 5 septembre 2024 constitue, si elle est confirmée, une aggravation sur le plan somatique, postérieure à la décision querellée, de sorte qu’elle ne saurait être prise en considération pour examiner le bien-fondé du refus de l’OAI. Au demeurant, la recourante ne s’y réfère à juste titre pas. Cela étant précisé, s’agissant des critiques de la recourante, il peut être relevé ce qui suit. La recourante reproche, tout d’abord, à l’expert d’être régulièrement en contradiction avec les constatations de ses médecins traitants. À cet égard, il y a lieu de rappeler qu’on ne saurait remettre en cause une expertise ordonnée par l'administration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ce qui n’a pas été le cas comme cela a été relevé supra. En tout état, l’expert psychiatre a détaillé les motifs pour lesquels il n’avait pas retenu les diagnostics d’anxiété généralisée, d’anxiété constante ou de trouble panique (rapport d’expertise p. 20) évoqués par la psychiatre traitante dans ses rapports établis antérieurement à l’expertise. La recourante allègue, ensuite, que les considérations de l’expert en lien avec l’humeur, les angoisses ou encore son état de stress (recours p. 24) comportent des contradictions. La chambre de céans ne saurait toutefois suivre la recourante sur ce point, dès lors que ses critiques portent en réalité sur des éléments relatés dans l’anamnèse. Or, cette partie retranscrit les déclarations de la recourante qui elle- même a pu faire des remarques contradictoires. D’ailleurs, elle ne conteste pas avoir tenu de tels propos. La recourante reproche également à l’expert de ne pas avoir retenu de ralentissement psychomoteur et d’anhédonie (recours p. 25). Le ralentissement</w:t>
      </w:r>
    </w:p>
    <w:p>
      <w:r>
        <w:t>A/2148/2024 - 14/20 - psychomoteur est défini comme une lenteur, touchant à la fois la motricité (bradykinésie) et la pensée (bradyphrénie ; cf. Carine WANG- BUCHOLZER/Anita BARBEY et François VINGERHOETS, Fatigue et ralentissement psychomoteur in Revue Medicale Suisse 2017 ; 13 : 2006-8). Dès lors que l’expert psychiatre n’a pas constaté de lenteur liée à la motricité, ce qui n’est au demeurant pas contesté par la recourante, il est cohérent qu’il ne retienne pas de ralentissement psychomoteur même s’il a considéré que la fluidité idéique était un peu ralentie. Quant à l’anhédonie, elle est définie comme un déficit dans la capacité à éprouver du plaisir (cf. https://www.academie-medecine.fr/le- dictionnaire/index.php). Ainsi, considérer que la recourante ne souffre pas d’anhédonie, dès lors qu’elle ressent encore du plaisir à s’occuper de ses plantes, à se promener ou encore à aller à la piscine n’est pas non plus critiquable. Quant à la remarque en lien avec la stabilité aux autres (recours p. 25), elle s’inscrit dans un contexte particulier, soit l’analyse des critères pour retenir un trouble de la personnalité émotionnellement labile (rapport p. 20). Cette remarque ne saurait dès lors être sortie de son contexte pour être mise en rapport avec les constatations d’ordre général sur les relations sociales. Enfin, la recourante reproche à l’expert de ne pas avoir retenu de trouble somatoforme douloureux. Force est toutefois de constater que le propre psychiatre traitant de la recourante n’a pas évoqué un tel diagnostic dans ses rapports des 30 novembre 2022 et 27 juillet 2023. Cette critique ne saurait donc pas non plus être prise en considération pour remettre en question la valeur probante du rapport d’expertise. En revanche, la chambre de céans constate qu’il est question d’un séjour à la Clinique de Montana entre fin janvier et début mars 2023 pour une convalescence physique et psychique (cf. expertise p. 20 et rapport de la Dre F______ du 27 juillet 2023). Or, le dossier soumis à l’expert psychiatre ne comporte aucun rapport établi suite à ce séjour de plus d’un mois et l’expert ne semble pas avoir demandé une copie dudit rapport. En outre, comme cela a déjà été relevé par la recourante dans ses déterminations du 13 mai 2024 et dans son recours du 24 juin 2024, le Dr D______ évoque un courrier de la Dre F______ du 28 novembre 2023 (cf. rapport d’expertise p. 21), mais ce document ne figure pas au dossier, malgré les demandes répétées du conseil de la recourante. Vu l’absence du rapport établi consécutivement au séjour à la Clinique de Montana et du courrier précité de la Dre F______, le dossier est lacunaire. On peut donc s’interroger sur la fiabilité des conclusions de l’expertise psychiatrique, dès lors que celles-ci ont été rendues sur la base d’un dossier incomplet. Aussi, en l’état, la chambre de céans ne saurait se fier à l’expertise du CEMEDEX pour apprécier la validité de la décision de refus de l’intimé.</w:t>
      </w:r>
    </w:p>
    <w:p>
      <w:r>
        <w:t>A/2148/2024 - 15/20 - Se pose donc la question d’une instruction complémentaire. L’opportunité d’une telle mesure dépendra toutefois des conclusions de l’OAI quant à l’existence d’une activité adaptée, comme cela ressort des considérations qui suivent.</w:t>
      </w:r>
    </w:p>
    <w:p>
      <w:r>
        <w:rPr>
          <w:b/>
        </w:rPr>
        <w:t>E. 10.1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w:t>
      </w:r>
    </w:p>
    <w:p>
      <w:r>
        <w:rPr>
          <w:b/>
        </w:rPr>
        <w:t>E. 10.2</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(RCC 1991 p. 329 ; RCC 1989 p. 328 ; arrêts du Tribunal fédéral 9C_286/2015 du 12 janvier 2016 consid. 4.2 ; 9C_659/2014 du</w:t>
      </w:r>
    </w:p>
    <w:p>
      <w:r>
        <w:rPr>
          <w:b/>
        </w:rPr>
        <w:t>E. 10.3</w:t>
      </w:r>
    </w:p>
    <w:p>
      <w:r>
        <w:t>Ont notamment été considérées, par le Tribunal fédéral ou les offices de l'assurance-invalidité, comme étant des activités légères, ne requérant pas de formation particulière : les tâches simples de surveillance, de vérification, de contrôle ou encore les tâches d'approvisionnement de machines ou d'unités de production automatiques ou semi-automatiques (arrêt du Tribunal fédéral 9C_659/2014 du 13 mars 2015 consid. 5.3.3), les activités de vendeur/caissier dans un kiosque (arrêts du Tribunal fédéral 9C_474/2016 du 8 février 2017 ; 9C_659/2014 du 13 mars 2015 ; 9C_502/2014 du 5 septembre 2014), les activités dans le domaine du bureau, réceptionniste, caissier en kiosque ou en station-service (arrêts du Tribunal fédéral 9C_474/2016 du 8 février 2017 ; 9C_502/2014 du 5 septembre 2014), les emplois sur une chaîne de montage en position assise, les métiers de gardien de musée, de surveillant de parking, de vendeur de billets (arrêt du Tribunal fédéral 9C_21/2008 du 29 septembre 2008), les professions d'auxiliaires dans un magasin, dans une entreprise de lavage de voitures ou de gardien (de musée, de parking, sur un chantier , arrêt du Tribunal fédéral des assurances I 836/02 du 14 février 2003), ou encore les métiers de surveillants de chantier, gardiens de musée, portiers, chauffeurs de taxi, opérateurs sur machines, garçons de course ou encore ouvriers à l'établi pour des travaux légers (arrêt du Tribunal fédéral des assurances I 482/00 du 21 mai 2001).</w:t>
      </w:r>
    </w:p>
    <w:p>
      <w:r>
        <w:rPr>
          <w:b/>
        </w:rPr>
        <w:t>E. 10.4</w:t>
      </w:r>
    </w:p>
    <w:p>
      <w:r>
        <w:t>Le Tribunal fédéral a été amené à examiner à plusieurs reprises le caractère réaliste des activités adaptées envisageables. Notre Haute Cour a ainsi considéré, dans un arrêt 9C_279/2008 du</w:t>
      </w:r>
    </w:p>
    <w:p>
      <w:r>
        <w:rPr>
          <w:b/>
        </w:rPr>
        <w:t>E. 13</w:t>
      </w:r>
    </w:p>
    <w:p>
      <w:r>
        <w:t>mars 2015 consid. 5.3.2). Le caractère irréaliste des possibilités de travail doit alors découler de l'atteinte à la santé - puisqu'une telle atteinte est indispensable à la reconnaissance d'une invalidité (art. 7 et 8 LPGA) - et non de facteurs psychosociaux ou socioculturels qui sont étrangers à la définition juridique de l'invalidité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w:t>
      </w:r>
    </w:p>
    <w:p>
      <w:r>
        <w:t>A/2148/2024 - 16/20 -</w:t>
      </w:r>
    </w:p>
    <w:p>
      <w:r>
        <w:rPr>
          <w:b/>
        </w:rPr>
        <w:t>E. 16</w:t>
      </w:r>
    </w:p>
    <w:p>
      <w:r>
        <w:t>décembre 2008 que les limitations fonctionnelles présentées par une assurée, souffrant de lombosciatalgies gauches irritatives L5 sur hernie intraforaminale L5-S1 gauche (pas de port de charges supérieures à 10 kg de façon répétitive, pas de position en antéflexion ou en porte-à-faux du tronc de façon répétitive ou contre résistance, pas de position statique assise au-delà de 40 minutes, diminution du périmètre de marche à 20 minutes, pas de position statique debout au-delà de 20 minutes, possibilité d'alterner les positions assise/debout au minimum deux fois par heure [de préférence à sa guise], pas d'activité en terrain instable, pas de montée ou descente d'escaliers à répétition, pas d'activité en hauteur, pas d'exposition à des machines ou outils provoquant des vibrations de 5 Herz ou moins) représentaient des mesures classiques d'épargne lombaire en vue d'éviter les douleurs provoquées par la pathologie susmentionnée. Pour le Tribunal fédéral, il convenait néanmoins d'admettre que le marché du travail offrait un éventail suffisamment large d'activités légères, dont on devait convenir qu'un nombre significatif étaient adaptées auxdites limitations et accessibles sans aucune formation particulière (consid. 4). Dans un autre arrêt, le Tribunal fédéral a également considéré qu'il y avait suffisamment d'opportunités réalistes sur un marché du travail équilibré pour les personnes ne pouvant exercer que des travaux légers de type mono-manuel, à l'instar de simples activités de surveillance, d'essais et d'inspection, ainsi que du</w:t>
      </w:r>
    </w:p>
    <w:p>
      <w:r>
        <w:t>A/2148/2024 - 17/20 - fonctionnement et de la surveillance de machines (semi-) automatiques ou d'unités de production qui ne nécessitent pas l'utilisation des deux bras et des deux mains. De tels emplois existent également dans les entreprises liées à la production, raison pour laquelle le Tribunal fédéral a jugé qu'une restriction du marché du travail à considérer ne s'imposait pas au secteur des services (arrêt du Tribunal fédéral 8C_100/2012 du 29 mars 2012 consid. 3.4 et les références). En revanche, dans l'arrêt 9C_313/2007 du 8 janvier 2008, le Tribunal fédéral a estimé qu’une assurée qui devait éviter le port de charges supérieures à 1 kg et les mouvements de bras au-dessus de l'horizontale et ne disposait que d'une force de préhension et de serrage limitées, ne pourrait pas travailler dans le secteur de la vente. Il en allait de même des tâches de vérification ou de contrôle (par exemple de machines automatiques utilisées dans le travail à la chaîne) qui supposaient le maintien d'une même position pendant une certaine durée, ce qui était difficilement compatible avec la restriction mise en évidence par les médecins au niveau de la nuque. Enfin, les empêchements au niveau des bras et des mains limitaient également l'action de l'assurée sur des objets ou machines dont elle devrait contrôler la destination ou le fonctionnement. Quant à l'activité de surveillance proprement dite – exceptée celle de gardien de musée –, elle impliquait dans la plupart des situations la faculté de réagir physiquement à un imprévu (emploi de la force ou courir après quelqu'un), dont l'assurée était dépourvue. Le Tribunal fédéral avait donc considéré qu'il n'y avait pas d'activité adaptée à l'état de santé de l'assurée (consid. 5.3). De même, dans un arrêt 9C_1035/2009 du 22 juin 2010, le Tribunal fédéral a considéré que compte tenu des limitations fonctionnelles retenues (pas de port de charges de plus de 10 kg de façon répétitive, pas de travail nécessitant le port de charges avec respiration bloquée et activité en force, pas de position statique assise au-delà de 40 minutes sans possibilité de varier les positions assise et debout, diminution du périmètre de marche à environ 20 minutes, pas de marche sur terrain instable, ni de montées ou descentes d'escaliers à répétition, pas de position en génuflexion ou accroupie, pas d'activité requérant un rendement imposé au niveau des membres supérieurs ou la pince pouce-index au niveau du membre supérieur droit contre résistance, pas d'activité minutieuse au niveau du membre supérieur droit), on devait admettre que, même en prenant en considération le large éventail d'activités simples et répétitives ne nécessitant pas de formation dans les secteurs de la production et des services, les possibilités d'un emploi adapté aux importantes limitations (en particulier au niveau des membres supérieurs) de l'assuré n'apparaissaient pas suffisantes pour qu'il put mettre en valeur sa capacité de travail résiduelle sur le plan économique dans une mesure significative (consid. 3 et 4.2.4). Enfin, le Tribunal fédéral a considéré, dans un arrêt 9C_984/2008 du 4 mai 2009, que l’assuré, qui souffrait d’une personnalité borderline et qui avait besoin de pouvoir fonctionner de manière parfaitement autonome et en dehors de toute</w:t>
      </w:r>
    </w:p>
    <w:p>
      <w:r>
        <w:t>A/2148/2024 - 18/20 - pression extérieure, dans un environnement protégé et confiné, ne pouvait offrir ce que l’on est en droit d’attendre d’un travailleur dans des rapports de travail qualifiés de normaux. Bien plus, notre Haute Cour a rappelé qu’à la différence de simples fluctuations conjoncturelles (arrêt du Tribunal fédéral I 198/76 du 4 octobre 1976 consid. 2 in RCC 1977 p. 206), les modifications structurelles que peut connaître le marché du travail sont des circonstances dont il y a lieu de tenir compte en matière d'assurance-invalidité (arrêt du Tribunal fédéral I 436/92 du 29 septembre 1993 consid. 4c et 5b). La structure actuelle du marché du travail n'offrait plus les conditions qui permettaient encore à une personne comme l’assuré, à l'aube des années nonante, de trouver un emploi et d'exercer par intermittence une activité lucrative. L'augmentation de la productivité au sein des entreprises, la pression sur la rentabilité ou encore les nécessités liées à la maîtrise des coûts salariaux pesaient sur les salariés qui devaient désormais faire preuve d'engagement et d'efficacité, s'intégrer dans une structure d'entreprise et, partant, montrer des facultés d'adaptation importantes. Si le marché du travail présentait par le passé une souplesse suffisante permettant, tant bien que mal, d'intégrer en son sein l’assuré, la nature et l'importance du trouble de la personnalité constituait, au regard des conditions actuelles du marché du travail, des obstacles irrémédiables à la reprise d'une activité lucrative salariée. 11. En l’espèce, selon l’expertise du CEMEDEX, les limitations fonctionnelles sont en l’état les suivantes, étant précisé que d’autres limitations pourraient venir s’y ajouter suite à l’instruction complémentaire à mener : - du point de vue rhumatologique : pas d’efforts de soulèvement au-delà de 5kg à partir du sol, pas de porte-à-faux du buste, port de charges proche du corps limité à 5kg, pas de montée d’escaliers répétée, pas d’efforts du membre supérieur gauche au-delà de la ligne des épaules ; - du point de vue psychiatrique : pas d’activités avec prise de décision immédiate ou traitement d’informations simultanées vu la sensibilité au stress ; fatigue. Vu les limitations fonctionnelles retenues, seules des activités simples et répétitives sont susceptibles d’entrer en considération à titre d’activités adaptées. La chambre de céans voit toutefois mal comment une assurée qui ne peut exercer une activité avec prise de décision immédiate ou traitement d’informations simultanées pourrait effectuer des activités de surveillance, lesquelles sont susceptibles d’impliquer, comme l'a retenu le Tribunal fédéral, la faculté de réagir physiquement à un imprévu, soit, en d’autres termes, de prendre une décision immédiate. Il en va de même des tâches de bureau, de réceptionniste, de vérification ou de contrôle, des activités dans le secteur de la vente, en tant qu'ouvrière en usine, à l'établi, voire sur une chaîne de montage, en tant qu'opératrice sur machines ou encore des tâches d'approvisionnement de machines ou d'unités de production automatiques ou semi-automatiques, lesquelles</w:t>
      </w:r>
    </w:p>
    <w:p>
      <w:r>
        <w:t>A/2148/2024 - 19/20 - supposent toutes des prises de décisions immédiates, le traitement d’informations simultanées ou encore le port de charges. Au vu des considérations qui précèdent, se pose la question de l’existence de suffisamment d’activités simples et répétitives adaptées aux limitations fonctionnelles, essentiellement psychiques. La chambre de céans est d’avis que, dans un cas aussi particulier et compte tenu de ces limitations fonctionnelles, l’OAI aurait dû déterminer si la recourante était concrètement encore en mesure d’exploiter une capacité de travail résiduelle sur le plan économique et de réaliser un salaire suffisant pour exclure une rente (cf. supra). Or, de toute évidence, l’intimé n’a pas procédé à cet examen. C’est pourquoi la chambre de céans lui renverra la cause afin qu’il détermine les activités concrètement envisageables au vu de la situation particulière de la recourante et des limitations fonctionnelles retenues. Si l’office intimé devait arriver à la conclusion qu’il en existe suffisamment, un complément d’expertise devra être ordonné pour combler les lacunes constatées précédemment (consid. 9.3). En revanche, si l’OAI devait arriver à la conclusion qu’il n’existe pas suffisamment d’activités raisonnablement envisageables, une rente entière devra être accordée à la recourante et une instruction médicale complémentaire s’avérera superflue. 12. Au vu de ce qui précède, le recours est partiellement admis et la décision querellée est annulée. La cause est par ailleurs renvoyée à l’intimé pour instruction complémentaire quant à l’existence de suffisamment d’activités adaptées aux limitations fonctionnelles retenues et, en cas de réponse positive, complément d’expertise au sens des considérants avant nouvelle décision, voire, en cas de réponse négative, octroi d’une rente entière. La recourante, qui obtient partiellement gain de cause et est assistée d’un mandataire professionnellement qualifié, a droit à des dépens, fixés à CHF 1'500.- (art. 61 let. g LPGA). La procédure en matière d'assurance-invalidité n'étant pas gratuite (art. 69 al. 1bis LAI), un émolument de CHF 200.- est mis à la charge de l'intimé.</w:t>
      </w:r>
    </w:p>
    <w:p>
      <w:r>
        <w:t>A/2148/2024 - 20/20 -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