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ATAS/502/2017 vom 20. Juni 2017</w:t>
      </w:r>
    </w:p>
    <w:p>
      <w:r>
        <w:t>GE Cour de justice, 2017-06-20, FR</w:t>
      </w:r>
    </w:p>
    <w:p>
      <w:r>
        <w:rPr>
          <w:b/>
        </w:rPr>
        <w:t xml:space="preserve">Quelle: </w:t>
      </w:r>
      <w:r>
        <w:t>https://mcp.opencaselaw.ch/entscheid/ge_gerichte_ATAS_502_2017</w:t>
      </w:r>
    </w:p>
    <w:p>
      <w:r>
        <w:t>FR: GE_GERICHTE ATAS/502/2017 du 20 juin 2017</w:t>
      </w:r>
    </w:p>
    <w:p>
      <w:r>
        <w:t>IT: GE_GERICHTE ATAS/502/2017 del 20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7 octobre 2016 contre la décision litigieuse du 9 septembre 2016,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w:t>
      </w:r>
    </w:p>
    <w:p>
      <w:r>
        <w:t>A/3408/2016 - 11/21 -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la demande de prestations de l’AI est intervenue en février 2016, pour des atteintes à la santé invalidantes depuis quatre ans, ayant entraîné une incapacité totale de travailler depuis janvier 2014, ainsi que le médecin traitant de la recourante l’a aussi indiqué (tout en ayant fait mention de lombalgies, cervicalgies et paresthésies impactant sa capacité de travail depuis 2004, pourtant non évoquées dans le cadre de la première procédure administrative ouverte à la suite d’une demande du 22 mars 2006 et close par une décision du 9 octobre 2007). Les faits déterminants se sont produits depuis 2012. Aussi le droit applicable est-il le droit actuellement en vigueur, résultant de la dernière révision de la LAI, dite 6a du 18 mars 2011, entrée en vigueur le 1er janvier 2012. Au demeurant, ladite révision 6a comme les révisions précédentes de la LAI – à savoir celles des 21 mars 2003 [4ème révision] et 6 octobre 2006 [5ème révision], entrées en vigueur respectivement les 1er janvier 2004 et 1er janvier 2008 –, n’ont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w:t>
      </w:r>
    </w:p>
    <w:p>
      <w:r>
        <w:t>A/3408/2016 - 12/21 -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w:t>
      </w:r>
    </w:p>
    <w:p>
      <w:r>
        <w:t>A/3408/2016 - 13/21 -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w:t>
      </w:r>
    </w:p>
    <w:p>
      <w:r>
        <w:rPr>
          <w:b/>
        </w:rPr>
        <w:t>E. 5</w:t>
      </w:r>
    </w:p>
    <w:p>
      <w:r>
        <w:t>a.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l’espèce, en 2016, tant lors du dépôt de sa demande de prestations de l’AI que lors de la prise de la décision attaquée, la recourante était mère au foyer à plein temps, et ce depuis son retour en Suisse en 2001, donc depuis une quinzaine d’années, pour des motifs – a-t-elle prétendu essentiellement en procédure de recours – liés à ses atteintes à la santé. En 2016, les enfants de la recourante avaient respectivement 25, 24, 19, 13 et 9 ans, soit des âges qui ne nécessitaient plus de sa part une pleine disponibilité de temps à consacrer à leur éducation et donc compatibles avec l’exercice de sa part d’une</w:t>
      </w:r>
    </w:p>
    <w:p>
      <w:r>
        <w:t>A/3408/2016 - 14/21 - activité lucrative, du moins à temps partiel eu égard à l’âge de ses deux derniers enfants. Elle-même avait alors 44 ans, soit un âge auquel exercer une activité lucrative répond souvent à l’aspiration de femmes ayant retrouvé plus de disponibilité en considération d’une plus grande autonomie de leurs enfants. De plus, la situation financière du ménage était précaire, le mari de la recourante ne réalisant alors qu’un faible revenu à mi-temps et étant affecté dans sa santé (les trois premiers enfants réalisant en revanche des revenus ou touchant des prestations). Ce sont des considérations qui plaident en faveur d’une prise d’activité par la recourante en l’absence d’atteinte à sa santé. En revanche, tenir un ménage de sept personnes (ou même six, si le fils aîné, le cas échéant marié, n’en faisait plus partie) restait une tâche requérant de la part de la recourante un investissement de temps et d’énergie important, pouvant lui faire préférer de s’y consacrer pleinement ; c’est d’ailleurs ce que la recourante a déclaré à l’infirmière ayant procédé à l’enquête ménagère. De plus, la recourante n’était au bénéfice d’aucune formation professionnelle, ayant simplement suivi dans son enfance neuf années d’école obligatoire et n’ayant eu par la suite que de modestes expériences professionnelles (ainsi que l’atteste la modicité des revenus qu’elle a réalisés entre 1995 et 2007 à teneur de l’extrait de son compte individuel). Elle n’a en outre pas fait état d’affinités ou de talents personnels qui constitueraient des indices en faveur d’un souhait effectif d’exercer une activité lucrative. De surcroît, les premières déclarations de la recourante vont clairement dans le sens que cette dernière a fait le choix d’être mère au foyer, autrement dit de ne pas exercer d’activité professionnelle. En effet, dans sa demande de prestations, elle s’est présentée comme mère au foyer, sans faire mention d’une prétendue volonté de reprendre une activité lucrative. Lors de l’entretien qu’elle a eu avec l’enquêtrice de l’intimé le 21 juin 2016, elle a expliqué que non seulement lors de son retour en Suisse en 2001 (alors qu’elle avait encore de très jeunes enfants), mais aussi maintenant que son fils cadet avait 9 ans et après s’être posée la question de reprendre ou non un emploi, elle avait fait le choix de ne pas le faire, estimant que les avantages financiers qu’elle en tirerait n’en vaudraient pas la peine une fois déduits les frais supplémentaires qui en résulterait en termes de frais de garde, de cuisines scolaires et d’activités parascolaires. Les déclarations que la recourante a faites ultérieurement, après avoir été conseillée, n’emportent pas conviction quant à l’effectivité d’une volonté à tout le moins ferme de reprendre une activité. Il convient en général d’accorder la préférence aux premières déclarations d’un assuré, faites alors qu’il en ignorait peut-être les conséquences juridiques, les explications nouvelles pouvant être – consciemment ou non – le fruit de réflexions ultérieures (ATF 121 V 47 consid. 2a ; 115 V 143 consid. 8c). L’indication du médecin traitant – à considérer en tout état avec réserve, compte tenu d’une propension des médecins traitants, en cas de doute, à prendre parti pour leurs patients en raison de la relation de confiance qui les unit à ces derniers (ATF 125 V 351 consid. 3b/cc) – que la recourante avait toujours gardé l’espoir de retrouver une</w:t>
      </w:r>
    </w:p>
    <w:p>
      <w:r>
        <w:t>A/3408/2016 - 15/21 - activité malgré son incapacité de travail depuis janvier 2014 n’autorise pas à retenir autre chose que le sujet a pu être évoqué entre lui et la recourante, mais pas que cette dernière se serait mise à exercer un métier si elle n’avait pas eu d’atteinte à la santé. Enfin, c’est un fait que la recourante n’a fait concrètement aucune recherche d’emploi depuis de nombreuses années, depuis 2003 (selon ce que l’enquêtrice a consigné dans son rapport), en particulier avant qu’elle ne devienne, en janvier 2014, incapable de travailler selon son médecin-traitant. c. En conclusion, s’il est certes possible que la recourante aurait exercé une activité lucrative à temps partiel en 2016 en l’absence d’atteinte à la santé, cela n’est pas établi au degré de vraisemblance prépondérante. Aussi est-ce à bon droit que l’intimé a attribué le statut de ménagère à la recourante. Le recours n’est pas fondé sur ce premier point.</w:t>
      </w:r>
    </w:p>
    <w:p>
      <w:r>
        <w:rPr>
          <w:b/>
        </w:rPr>
        <w:t>E. 6</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w:t>
      </w:r>
    </w:p>
    <w:p>
      <w:r>
        <w:t>A/3408/2016 - 16/21 -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w:t>
      </w:r>
    </w:p>
    <w:p>
      <w:r>
        <w:t>A/3408/2016 - 17/21 -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7</w:t>
      </w:r>
    </w:p>
    <w:p>
      <w:r>
        <w:t>a. En l’espèce, compte tenu du statut de ménagère de la recourante, l’intimé a à juste titre mandaté une enquêtrice spécialisée pour déterminer ses empêchements à accomplir ses tâches ménagères par le biais d’une enquête économique sur le ménage. b. D’un point de vue formel, le rapport d’enquête qu’a établi ladite enquêtrice, collaboratrice spécialisée de l’intimé, infirmière de formation, l’a été sur la base du formulaire prévu à cet effet par l’office fédéral des assurances sociales (Michel VALTERIO, op. cit., n. 2165, qui cite à ce propos l’arrêt du Tribunal fédéral des assurances I 393/03 du 13 avril 2005 consid. 5.2), et il en remplit les diverses rubriques de façon détaillée. L’enquête a été effectuée au domicile et en présence de la recourante, durant une heure et trente-cinq minutes, donc en connaissance des conditions concrètes dans lesquelles cette dernière est appelée à accomplir ses tâches ménagères. La recourante a pu s’exprimer. Sans doute prétend-elle que ses réponses n’ont pas été suffisamment prises en compte, voire ont été déformées par l’enquêtrice. Ses commentaires personnels joints à son complément de recours ne relèvent cependant pas d’erreurs ou de déformations qui soient propres à influencer de façon un tant soit peu significative l’évaluation que l’enquêtrice a faite de ses empêchements d’accomplir ses tâches ménagères, déterminant son degré d’invalidité. Le fait que le fils aîné de la recourante était marié n’est pas décisif, quand bien même il ne vivrait plus dans le ménage (ce qui, au demeurant, ne devait pas l’empêcher d’y être souvent présent avec son épouse, qui, aux dires de la recourante, nettoyait la cuisine le soir). Les critiques que fait la recourante quant à la pertinence de questions posées ou d’appréciations faites par l’enquêtrice (par exemple la possibilité d’utiliser un chiffon n’ayant pas besoin d’être essoré plutôt qu’un torchon humide à essorer) ne sont pas fondées. La plupart des commentaires personnels de la recourante ont d’ailleurs trait à l’exigibilité requise des membres de sa famille, aide trop théorique selon elle ; or, peu importe que son époux ou/et ses enfants ne lui apporteraient pas concrètement l’aide retenue, dès lors que l’aide prise en compte est exigible. La chambre de céans ne voit pas de raison de ne pas tenir les déclarations consignées par l’enquêtrice comme fidèles, globalement, à celles qu’avait faites la recourante lors de ladite enquête.</w:t>
      </w:r>
    </w:p>
    <w:p>
      <w:r>
        <w:t>A/3408/2016 - 18/21 - c. L’enquêtrice a mené l’entretien avec la recourante et procédé à l’évaluation des empêchements de cette dernière en connaissance de l’ensemble des pièces médicales figurant alors au dossier, en particulier des diagnostics retenus par le SMR, à savoir d’une polyarthrite chronique, de dorso-lombalgies chroniques et de rizarthroses des deux côtés. Tels étaient les diagnostics pertinents. La recourante prétend qu’il n’a pas été tenu compte d’une fibromyalgie, ni d’un état dépressif. Force est cependant de relever que non seulement la demande de prestations présentée le 2 février 2016 par la recourante, sous les réserves abordées ci-après, mais également les rapports médicaux du médecin traitant se focalisaient sur les troubles somatiques de la recourante, se trouvant exprimés par les termes synthétiques pertinents utilisés par le SMR. Dans sa demande de prestations, la recourante ne faisait mention que d’une douleur invalidante dans les jambes et les mains, en y annexant un rapport d’imagerie médicale. Dans son attestation du 22 février 2016, le Dr L_____ n’évoquait que des algies diverses (plus particulièrement des dorso-lombalgies chroniques et invalidantes), une polyarthrite chronique et une rizarthrose des deux côtés. Selon le rapport du 23 mars 2016 dudit médecin, la capacité de travail de la recourante était impactée par des lombalgies, des cervicalgies et une paresthésie des membres inférieurs et supérieurs ; la fibromyalgie alors mentionnée était sans effet sur sa capacité de travail, même si elle contribuait à limiter ses capacités d’adaptation et de résistance, de même que – a ajouté ledit médecin – un état dépressif (à peine mentionné, et ne l’étant plus dans le rapport subséquent du 21 avril 2016). La recourante avait certes eu des problèmes psychiatriques dans un passé remontant à plusieurs années, dans une mesure qui, aux dires mêmes du psychiatre E______ en 2006, ne l’empêchaient alors pas dans ses activités ménagères. Depuis qu’il la suivait (soit depuis 2008), le Dr L_____ n’a manifestement pas estimé que la recourante nécessitait une prise en charge psychiatrique, du ressort d’un psychiatre. Dans ces conditions, le SMR était fondé à admettre, sans investigation complémentaire, que seule les atteintes somatiques précitées étaient le cas échéant pertinentes pour l’évaluation d’une éventuelle invalidité. Il ne peut être accordé de poids, à l’appui d’une thèse inverse, à l’allégation du Dr L_____ du 29 septembre 2016 que la recourante souffrirait d’un état dépressif profond se répercutant sur ses possibilités de socialisation, allégation d’une part postérieure à la décision attaquée et d’autre part apparaissant partisane dans le contexte procédural connu dudit médecin traitant. Il sied de noter que la recourante elle-même n’a pas fait état, devant l’enquêtrice, d’une fibromyalgie et/ou d’un état dépressif. Sur la question des atteintes à la santé de la recourante comme d’ailleurs sur celle d’une éventuelle reprise d’une activité lucrative, l’audition dudit médecin traitant apparaît sans utilité ; il n’y a pas lieu d’y procéder, par appréciation anticipée des preuves (ATF 122 II 464 consid. 4a; 122 III 219 consid. 3c).</w:t>
      </w:r>
    </w:p>
    <w:p>
      <w:r>
        <w:t>A/3408/2016 - 19/21 - La chambre de céans retient que l’enquêtrice a évalué les empêchements de la recourante pour l’accomplissement de ses tâches ménagères en connaissance des diagnostics pertinents. d. L’enquêtrice a retenu que la recourante présentait des empêchements assez élevés pour l’accomplissement de ses principales tâches ménagères (ayant un relativement haut taux de pondération), à savoir 40 % pour le poste « Alimentation » (pondéré à 36 %), 60 % pour le poste « Entretien du logement » (pondéré à 15 %) et 30 % pour le poste « Lessive et entretien des vêtements » (pondéré à 15 %). La chambre de céans ne voit pas de critique à émettre à l’encontre tant des taux de pondération que des empêchements retenus par l’enquêtrice. La recourante n’en fait pas valoir de façon pertinente. e. L’enquêtrice a retenu des taux d’exigibilité aussi élevés que les empêchements pour les postes « Alimentation », « Emplettes et courses diverses », « Lessive et entretien des vêtements », « Soins aux enfants et aux autres membres de la famille », et légèrement moins élevés que les empêchements pour les postes « Entretien du logement » (52 % pour un empêchement de 60 %) et « Divers » (20 % pour un empêchement de 30 %, poste pondéré à 3 %). Il s’ensuit que les aides susceptibles d’être requises des membres de la famille compensent largement les empêchements de la recourante, au point que le taux d’empêchement pondéré total (soit le degré d’invalidité) est de 1.5 % seulement. Il n’en est pas moins juste que la recourante vit au sein d’une famille dont les relativement nombreux membres se doivent, compte tenu de ses atteintes à la santé, de lui apporter une aide assez substantielle pour l’accomplissement des tâches ménagères, à savoir son conjoint (actif professionnellement à mi-temps) ainsi que trois sinon quatre de ses enfants, en ne tenant pas compte du cinquième enfant vu son âge (bien que certaines tâches mineures puissent être attendues d’un enfant de</w:t>
      </w:r>
    </w:p>
    <w:p>
      <w:r>
        <w:rPr>
          <w:b/>
        </w:rPr>
        <w:t>E. 9</w:t>
      </w:r>
    </w:p>
    <w:p>
      <w:r>
        <w:t>La procédure n’étant pas gratuite en matière de contestations portant sur l’octroi ou le refus de prestations de l’AI devant le tribunal cantonal des assurances (donc la chambre de céans), en dérogation à l’art. 61 let. a LPGA (art. 69 al. 1bis phr. 1 LAI), il y a lieu de condamner la recourante au paiement d'un émolument, arrêté en l’espèce au minimum de CHF 200.- (art. 69 al. 1bis phr. 2 in fine LAI). Il n’y a pas d’indemnité de procédure à allouer, ni à la recourante, qui succombe (art. 61 let. g LPGA), ni à l’intimé en tant qu’assureur social (Ueli KIESER, op. cit., n. 199 s. ad art. 61 ; cf., devant le Tribunal fédéral, art. 68 al. 3 de la loi fédérale sur le Tribunal fédéral du 17 juin 2005 - LTF - RS 173.110).</w:t>
      </w:r>
    </w:p>
    <w:p>
      <w:r>
        <w:t>* * * * * *</w:t>
      </w:r>
    </w:p>
    <w:p>
      <w:r>
        <w:t>A/3408/2016 - 21/21 -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