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ATAS/501/2017 vom 15. Juni 2017</w:t>
      </w:r>
    </w:p>
    <w:p>
      <w:r>
        <w:t>GE Cour de justice, 2017-06-15, FR</w:t>
      </w:r>
    </w:p>
    <w:p>
      <w:r>
        <w:rPr>
          <w:b/>
        </w:rPr>
        <w:t xml:space="preserve">Quelle: </w:t>
      </w:r>
      <w:r>
        <w:t>https://mcp.opencaselaw.ch/entscheid/ge_gerichte_ATAS_501_2017</w:t>
      </w:r>
    </w:p>
    <w:p>
      <w:r>
        <w:t>FR: GE_GERICHTE ATAS/501/2017 du 15 juin 2017</w:t>
      </w:r>
    </w:p>
    <w:p>
      <w:r>
        <w:t>IT: GE_GERICHTE ATAS/501/2017 del 15 giugno 2017</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soit dans le délai légal de trente jours à compter de la notification de la décision attaquée (art. 60 al. 1 LPGA) et satisfait aux exigences de forme et de contenu prescrites, de sorte qu’il doit être déclaré recevable.</w:t>
      </w:r>
    </w:p>
    <w:p>
      <w:r>
        <w:rPr>
          <w:b/>
        </w:rPr>
        <w:t>E. 3</w:t>
      </w:r>
    </w:p>
    <w:p>
      <w:r>
        <w:t>Le litige porte sur le bien-fondé de la suspension de 7 jours du droit à l'indemnité de la recourante.</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dans sa teneur en vigueur dès le 1er avril 2011,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le 1er avril 2011, la sanction prévue par l'art. 26 al. 2 OACI - qui est la non- prise en compte des recherches d'emploi et, partant, une suspension du droit à</w:t>
      </w:r>
    </w:p>
    <w:p>
      <w:r>
        <w:t>A/559/2017 - 5/8 - l’indemnité - intervient déjà si les justificatifs ne sont pas remis à l'expiration du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w:t>
      </w:r>
    </w:p>
    <w:p>
      <w:r>
        <w:t>A/559/2017 - 6/8 -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Les directives du SECO paraissent assimiler ces deux situations, en prévoyant dans l’un et l’autre cas que la faute est légère et appelle une suspension de 5 à 9 jours lors du premier manquement, que la faute est de légère à moyenne lors d’un deuxième manquement et appelle une suspension de 10 à 19 jours, et que lors d’un troisième manquement le dossier est renvoyé à l'autorité cantonale pour décision (Circulaire IC, D79, rubriques 1D et +1E).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 avait fait des recherches de qualité justifiait une sanction, non pas de cinq jours de suspension du droit à l’indemnité, mais uniquement d’un seul jour (arrêt du Tribunal fédéral 8C_2/2012 du 14 juin 2012). Dans un arrêt du 26 juin 2012 (8C_64/2012), le Tribunal fédéral a confirmé la réduction de la sanction de cinq à un jour de suspension du droit à l'indemnité au motif que l'assuré avait remis ses recherches d'emploi avec un jour de retard seulement (il s’agissait en outre d’un premier manquement). Dans un autre arrêt du 26 juin 2012 (8C_33/2012), le Tribunal fédéral a rappelé qu'une sanction identique ne s'imposait pas lorsque l'assuré ne faisait aucune recherche d'emploi ou lorsqu'il produisait ses recherches après le délai, surtout qu'il s'agissait d'un léger retard qui avait lieu pour la première fois pendant la période de contrôle ; il a confirmé la réduction de la sanction de cinq à trois jours de suspension du droit à l'indemnité d'une assurée qui avait remis ses recherches d'emploi, lesquelles étaient faites en qualité et en quantité, avec quatorze jours de retard alors qu'il s'agissait d'un premier manquement. En effet,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w:t>
      </w:r>
    </w:p>
    <w:p>
      <w:r>
        <w:t>A/559/2017 - 7/8 -</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rPr>
          <w:b/>
        </w:rPr>
        <w:t>E. 8</w:t>
      </w:r>
    </w:p>
    <w:p>
      <w:r>
        <w:t>En l'espèce, il n'est pas contesté que la recourante a remis tardivement son formulaire de recherches de septembre 2016. Ses recherches ne peuvent donc plus être prises en compte (art. 26 al. 2 OACI). Il est également non contesté que cela constitue non pas le premier mais le troisième manquement de la recourante. D’un autre côté, la Chambre de céans constate que le retard accusé par la recourante n’est que d’un jour, qu’elle n’a pas attendu d’être rappelée à l’ordre par la notification d’une décision de sanction pour s’exécuter et que la qualité des recherches effectuées durant le mois litigieux n’est pas contestée. Compte tenu de ce qui précède et, en particulier, de la jurisprudence précitée, la Chambre de céans considère que la faute de la recourante doit être qualifiée de légère. Néanmoins, au vu du fait que cela constitue son troisième manquement, la quotité de la sanction litigieuse respecte le principe de la proportionnalité. Quant à l’argument de la recourante selon lequel elle pouvait de bonne foi se croire obligée de déposer ses recherches d’emploi en personne, il doit être écarté. En effet, en ce cas, on aurait pu attendre d’elle qu’elle se renseigne sur les horaires des guichets et se présente à temps. Même dans ces circonstances, une légère négligence pourrait lui être reprochée. Au vu des considérations qui précèdent, le recours est rejeté. Pour le surplus, la procédure est gratuite.</w:t>
      </w:r>
    </w:p>
    <w:p>
      <w:r>
        <w:t>A/559/2017 - 8/8 -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