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ATAS/501/2016 vom 28. Juni 2016</w:t>
      </w:r>
    </w:p>
    <w:p>
      <w:r>
        <w:t>GE Cour de justice, 2016-06-28, FR</w:t>
      </w:r>
    </w:p>
    <w:p>
      <w:r>
        <w:rPr>
          <w:b/>
        </w:rPr>
        <w:t xml:space="preserve">Quelle: </w:t>
      </w:r>
      <w:r>
        <w:t>https://mcp.opencaselaw.ch/entscheid/ge_gerichte_ATAS_501_2016</w:t>
      </w:r>
    </w:p>
    <w:p>
      <w:r>
        <w:t>FR: GE_GERICHTE ATAS/501/2016 du 28 juin 2016</w:t>
      </w:r>
    </w:p>
    <w:p>
      <w:r>
        <w:t>IT: GE_GERICHTE ATAS/501/2016 del 28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A/3148/2015 - 13/20 -</w:t>
      </w:r>
    </w:p>
    <w:p>
      <w:r>
        <w:rPr>
          <w:b/>
        </w:rPr>
        <w:t>E. 3</w:t>
      </w:r>
    </w:p>
    <w:p>
      <w:r>
        <w:t>Le délai de recours est de 30 jours (art. 60 al. 1 LPGA). Interjeté dans la forme et le délai prévus par la loi, le recours est recevable (art. 38 et 56 et ss LPGA).</w:t>
      </w:r>
    </w:p>
    <w:p>
      <w:r>
        <w:rPr>
          <w:b/>
        </w:rPr>
        <w:t>E. 4</w:t>
      </w:r>
    </w:p>
    <w:p>
      <w:r>
        <w:t>Le litige porte sur le droit du recourant à des indemnités journalières pour la période du 25 mars au 1er mai 2014, étant précisé que l’intimée a d’ores et déjà versé au recourant les indemnités demandées pour les périodes du 2 au 8 mai 2014 (50%), du 9 au 11 mai 2014 (100%) et du 12 au 31 mai 2014 (50%), lesquelles ne sont pas ou plus litigieuses.</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w:t>
      </w:r>
    </w:p>
    <w:p>
      <w:r>
        <w:rPr>
          <w:b/>
        </w:rPr>
        <w:t>E. 7</w:t>
      </w:r>
    </w:p>
    <w:p>
      <w:r>
        <w:t>Lorsqu’il y a lien de causalité naturelle et adéquate, l’obligation de prester de l’assureur est établie. Elle cesse cependant lorsque l'accident ne constitue plus la cause naturelle et adéquate du dommage, soit lorsque ce dernier résulte exclusivement de causes étrangères à l'accident. Tel est le cas lorsque l'état de santé de l'intéressé est similaire à celui qui existait immédiatement avant l'accident (statu</w:t>
      </w:r>
    </w:p>
    <w:p>
      <w:r>
        <w:t>A/3148/2015 - 14/20 -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arrêt du Tribunal fédéral des assurances U 351/04 du 14 février 2006 consid. 3.2).</w:t>
      </w:r>
    </w:p>
    <w:p>
      <w:r>
        <w:rPr>
          <w:b/>
        </w:rPr>
        <w:t>E. 9</w:t>
      </w:r>
    </w:p>
    <w:p>
      <w:r>
        <w:t>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w:t>
      </w:r>
    </w:p>
    <w:p>
      <w:r>
        <w:t>A/3148/2015 - 15/20 -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129 V 466;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10</w:t>
      </w:r>
    </w:p>
    <w:p>
      <w:r>
        <w:t>L'assuré totalement ou partiellement incapable de travailler à la suite d'un accident a droit à une indemnité journalière (art. 16 al. 1 LAA). À teneur de l’art. 128 al. 2 de l’ordonnance sur l'assurance-accidents du 20 décembre 1982 (OLAA - RS 832.202), si un assuré malade est victime d'un accident dans un établissement hospitalier, l'assureur-maladie alloue, tant que dure le traitement hospitalier pour la maladie, les prestations assurées pour l'ensemble de l'atteinte à la santé. L'assureur-accidents est libéré de son obligation d'allouer des prestations jusqu'à concurrence des prestations de l'assureur-maladie. D’après les recommandations de la Commission ad hoc sinistres LAA pour l’application de la LAA et de l’OLAA n° 13/85 relatives aux accidents et maladie concomitants, en vigueur depuis le 17 novembre 2008, tant et aussi longtemps qu il existe avant l’accident une incapacité de travail causée par une maladie, l’accident ne peut pas déclencher le versement d’indemnités journalières.</w:t>
      </w:r>
    </w:p>
    <w:p>
      <w:r>
        <w:rPr>
          <w:b/>
        </w:rPr>
        <w:t>E. 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A/3148/2015 - 16/20 -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A/3148/2015 - 17/20 -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w:t>
      </w:r>
    </w:p>
    <w:p>
      <w:r>
        <w:t>A/3148/2015 - 18/20 -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14</w:t>
      </w:r>
    </w:p>
    <w:p>
      <w:r>
        <w:t>a. En l’espèce, le recourant considère que sans son accident du 28 février 2014, son incapacité totale de travail liée à la mise en place d’une prothèse totale du genou droit aurait pris fin le 24 mars 2014, soit après dix jours d’hospitalisation et deux semaines de rééducation. Son accident avait engendré le port d’une attelle pendant plusieurs semaines et considérablement ralenti son rétablissement et son retour au travail, de sorte qu’il avait présenté une incapacité de travail de 100% du 25 mars au 1er mai 2014, de 50% du 2 au 8 mai 2014, de 100% du 9 au 11 mai 2014 et de 50% du 12 au 31 mai 2014, en lien avec son accident. Pour parvenir à cette conclusion, le recourant se fonde sur les certificats et rapports émis par le Dr B______ et conteste la valeur probante des rapports du Dr D______. Pour sa part, l’intimée, s’appuyant sur les conclusions de son médecin-conseil, considère que la mise en place de la prothèse totale du genou droit est une opération relativement lourde qui, sans l’accident du 28 février 2014, aurait eu pour conséquence une incapacité de travail totale de deux mois et de 50% le troisième mois, au mieux. A l’inverse du recourant, elle estime que la valeur probante des rapports du Dr D______ doit être reconnue et son analyse préférée à celle du Dr B______. b. En ce qui concerne les appréciations médicales du Dr D______, la chambre de céans relève que le fait que ce dernier complète des courriers de l’intimée sans mettre en évidence les réponses qu’il apporte aux questions qui lui sont posées est regrettable, ce qu’admet l’intimée, dans la mesure où cela altère la clarté de son analyse du cas. Cela n’est toutefois pas suffisant pour dénier toute valeur probante aux rapports du Dr D______. En revanche, le Dr D______ n’explique pas pourquoi les résultats de la radiographie du 1er mars 2014 et l’abandon des cannes par le recourant quatre semaines après l’intervention du 28 février 2014 ne permettent pas de nuancer ou de modifier ses conclusions relatives à la capacité de travail. Compte tenu de la divergence d’appréciation entre le Dr D______ et le Dr B______, une telle motivation aurait été nécessaire. En tout état de cause, le ton employé par le Dr D______ dans son avis du 26 février 2015 pour répondre aux critiques adressées par le recourant est inadéquat et ne correspond pas à la neutralité qui est attendue d’un médecin-conseil. Cela jette un certain doute sur son impartialité dans le cas d’espèce. Une pleine valeur probante ne peut être reconnue à ses différents rapports et avis. c. Quant au Dr B______, outre le fait qu’il convient de tenir compte de sa qualité de médecin traitant du recourant, il ne s’est jamais prononcé sur plusieurs</w:t>
      </w:r>
    </w:p>
    <w:p>
      <w:r>
        <w:t>A/3148/2015 - 19/20 - points soulevés, de manière pertinente, par le Dr D______, soit la fatigabilité engendrée par la narcose complète, la rééducation et les douleurs, et sur l’éventuelle nécessité pour le recourant de porter une attelle sur le genou droit, en raison des trois vis posées pour stabiliser l’esquille osseuse du condyle latéral interne, d’origine maladive, lors de l’opération du 28 février 2014. S’ajoute à cela que d’une manière générale, tant les conclusions du Dr D______ que celles du Dr B______ ne sont pas suffisamment motivées pour pouvoir leur reconnaître une pleine valeur probante. Si le fait que l’accident du 28 février 2014 a empêché un déroulement normal des événements post-opératoire et ne permet pas une analyse concrète du cas stricto sensu, il n’en demeure pas moins que ni le Dr D______, ni le Dr B______ n’ont véritablement expliqué, autrement que par des considérations générales, les raisons qui les ont conduits à prendre leurs conclusions respectives. d. Compte tenu de ce qui précède, il apparaît que l’intimée a rendu la décision querellée sans disposer de document médical pleinement probant, de sorte qu’il convient de lui retourner le dossier afin qu’elle procède aux investigations médicales nécessaires. Sur ce point et compte tenu du caractère antagoniste des avis des Dr D______ et B______, la chambre de céans suggère à l’intimée de requérir l’avis d’un médecin indépendant.</w:t>
      </w:r>
    </w:p>
    <w:p>
      <w:r>
        <w:rPr>
          <w:b/>
        </w:rPr>
        <w:t>E. 15</w:t>
      </w:r>
    </w:p>
    <w:p>
      <w:r>
        <w:t>Compte tenu de ce qui précède, le recours est partiellement admis et la décision sur opposition du 13 juillet 2015 annulée, en tant qu’elle porte sur la période du 25 mars au 1er mai 2014, les indemnités journalières pour la période du 2 au 31 mai 2014 n’étant plus litigieuses.</w:t>
      </w:r>
    </w:p>
    <w:p>
      <w:r>
        <w:rPr>
          <w:b/>
        </w:rPr>
        <w:t>E. 16</w:t>
      </w:r>
    </w:p>
    <w:p>
      <w:r>
        <w:t>Le recourant obtenant partiellement gain de cause, une indemnité de CHF 1’000.- lui sera accordée à titre de participation à ses frais et dépens (art. 61 let. g LPGA ; art. 6 du règlement sur les frais, émoluments et indemnités en procédure administrative du 30 juillet 1986 [RFPA - E 5 10.03]). Pour le surplus, la procédure est gratuite (art. 61 let. a LPGA).</w:t>
      </w:r>
    </w:p>
    <w:p>
      <w:r>
        <w:t>A/3148/2015 - 20/20 -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