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ATAS/501/2008 vom 8. Februar 2007</w:t>
      </w:r>
    </w:p>
    <w:p>
      <w:r>
        <w:t>GE Cour de justice, 2007-02-08, FR</w:t>
      </w:r>
    </w:p>
    <w:p>
      <w:r>
        <w:rPr>
          <w:b/>
        </w:rPr>
        <w:t xml:space="preserve">Quelle: </w:t>
      </w:r>
      <w:r>
        <w:t>https://mcp.opencaselaw.ch/entscheid/ge_gerichte_ATAS_501_2008</w:t>
      </w:r>
    </w:p>
    <w:p>
      <w:r>
        <w:t>FR: GE_GERICHTE ATAS/501/2008 du 8 février 2007</w:t>
      </w:r>
    </w:p>
    <w:p>
      <w:r>
        <w:t>IT: GE_GERICHTE ATAS/501/2008 del 8 febbraio 2007</w:t>
      </w:r>
    </w:p>
    <w:p>
      <w:pPr>
        <w:pStyle w:val="Heading2"/>
      </w:pPr>
      <w:r>
        <w:t>Erwägungen</w:t>
      </w:r>
    </w:p>
    <w:p>
      <w:r>
        <w:rPr>
          <w:b/>
        </w:rPr>
        <w:t>E. 1</w:t>
      </w:r>
    </w:p>
    <w:p>
      <w:r>
        <w:t>L'art. 25a de la loi fédérale sur le libre passage dans la prévoyance professionnelle, vieillesse, survivants et invalidité du 17 décembre 1993 (ci-après: LFLP), entré en vigueur le 1er janvier 2000, règle la procédure en cas de divorce. Lorsque les conjoints ne sont pas d’accord sur la prestation de sortie à partager (art. 122 et 123 du Code civil suisse du 10 décembre 1907 ci-après: CC), le juge du lieu du divorce compétent au sens de l'art. 73 al. 1 de la loi fédérale sur la prévoyance professionnelle du 25 juin 1982 (ci-après: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(ci-après: OLP) et 12 de l'ordonnance fédérale sur la prévoyance professionnelle, vieillesse, survivants et invalidité du 18 avril 1984 sur la prévoyance professionnelle vieillesse, survivants</w:t>
      </w:r>
    </w:p>
    <w:p>
      <w:r>
        <w:t>A/270/2008 4/5 et invalidité (ci-après: OPP 2), le taux d'intérêt applicable à la prestation de sortie acquise avant le mariage est de 4% jusqu' au 31 décembre 2002, 3,25% en 2003, 2,25% en 2004, 2,5% dès le 1er janvier 2005, et 2,75% dès le 1er janvier 2008. Par conséquent les intérêts dus au demandeur sur la somme de 1'551 fr. 25 existant au 15 mars 2001 se montent à 305 fr. 25.</w:t>
      </w:r>
    </w:p>
    <w:p>
      <w:r>
        <w:rPr>
          <w:b/>
        </w:rPr>
        <w:t>E. 4</w:t>
      </w:r>
    </w:p>
    <w:p>
      <w:r>
        <w:t>En l’espèce, le juge de première instance a ordonné le partage par moitié des prestations de sortie acquises durant le mariage par les demandeurs. Les dates pertinentes sont, d’une part, celle du mariage, le 27 juin 1997, d’autre part le 13 mars 2007, date à laquelle le jugement de divorce est devenu exécutoire.</w:t>
      </w:r>
    </w:p>
    <w:p>
      <w:r>
        <w:rPr>
          <w:b/>
        </w:rPr>
        <w:t>E. 5</w:t>
      </w:r>
    </w:p>
    <w:p>
      <w:r>
        <w:t>Selon les documents produits, la prestation acquise pendant le mariage par le demandeur est de 53'005 fr. 90 (54'682 fr. 40 - 1'551 fr. 25 augmentés des intérêts de 305 fr. 25 soit 1'856 fr. 50) tandis que celle acquise par la demanderesse est de 34'499 fr. 60, les intérêts ayant déjà été calculés par les institutions de prévoyance défenderesses. Ainsi le demandeur doit à son ex-épouse le montant de 26'502 fr. 95 (53'005 fr. 90 : 2) et celle-ci doit à celui-là le montant de 17'249 fr. 80 (34'499 fr. 60 : 2), de sorte que c’est le demandeur qui doit à la demanderesse le montant de 9'253 fr. 15.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genevoise sur la procédure administrative du 12 septembre 1985).</w:t>
      </w:r>
    </w:p>
    <w:p>
      <w:r>
        <w:t>A/270/2008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