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ATAS/500/2024 vom 25. Juni 2024</w:t>
      </w:r>
    </w:p>
    <w:p>
      <w:r>
        <w:t>GE Cour de justice, 2024-06-25, FR</w:t>
      </w:r>
    </w:p>
    <w:p>
      <w:r>
        <w:rPr>
          <w:b/>
        </w:rPr>
        <w:t xml:space="preserve">Quelle: </w:t>
      </w:r>
      <w:r>
        <w:t>https://mcp.opencaselaw.ch/entscheid/ge_gerichte_ATAS_500_2024</w:t>
      </w:r>
    </w:p>
    <w:p>
      <w:r>
        <w:t>FR: GE_GERICHTE ATAS/500/2024 du 25 juin 2024</w:t>
      </w:r>
    </w:p>
    <w:p>
      <w:r>
        <w:t>IT: GE_GERICHTE ATAS/500/2024 del 25 giugno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délai de recours est de trente jours (art. 56 LPGA ; art. 62 al. 1 de la loi sur la procédure administrative du 12 septembre 1985 [LPA - E 5 10]). Selon l’art. 38 LPGA, si le délai, compté par jours ou par mois, doit être communiqué aux parties, il commence à courir le lendemain de la communication (al. 1). Les délais en jours ou en mois fixés par la loi ou par l’autorité ne courent pas du 18 décembre au 2 janvier inclusivement (al. 4 let. c). Interjeté dans la forme et le délai prévus par la loi, compte tenu de la suspension précitée, le recours du 29 janvier 2024 contre la décision sur opposition du 13 décembre 2023 est recevable.</w:t>
      </w:r>
    </w:p>
    <w:p>
      <w:r>
        <w:t>A/305/2024 - 7/16 -</w:t>
      </w:r>
    </w:p>
    <w:p>
      <w:r>
        <w:rPr>
          <w:b/>
        </w:rPr>
        <w:t>E. 2</w:t>
      </w:r>
    </w:p>
    <w:p>
      <w:r>
        <w:t>Le litige porte sur le bien-fondé de la décision sur opposition du 13 décembre 2023, singulièrement sur la question de savoir si l’intéressé doit être affilié en qualité de personne exerçant une activité indépendante. Subsidiairement, le litige porte sur le montant des revenus soumis à cotisations pour les années 2016 à 2019.</w:t>
      </w:r>
    </w:p>
    <w:p>
      <w:r>
        <w:rPr>
          <w:b/>
        </w:rPr>
        <w:t>E. 3</w:t>
      </w:r>
    </w:p>
    <w:p>
      <w:r>
        <w:t>Dans un premier grief de nature formelle qu’il convient d’examiner en premier lieu, le recourant se plaint d’un manque de motivation des décisions initiales de l’intimée, respectivement d’une violation de son droit d’être entendu.</w:t>
      </w:r>
    </w:p>
    <w:p>
      <w:r>
        <w:rPr>
          <w:b/>
        </w:rPr>
        <w:t>E. 3.1</w:t>
      </w:r>
    </w:p>
    <w:p>
      <w:r>
        <w:t>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126 I 97 consid. 2b). La motivation d'une décision est suffisante lorsque l'intéressé est mis en mesure d'en apprécier la portée et de la déférer à une instance supérieure en pleine connaissance de cause (ATF 122 IV 14 consid. 2c). La jurisprudence a également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de ce droit, la jurisprudence admet qu'une violation de ce dernier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127 V 431 consid. 3d/aa ; 126 V 130 consid. 2b).</w:t>
      </w:r>
    </w:p>
    <w:p>
      <w:r>
        <w:rPr>
          <w:b/>
        </w:rPr>
        <w:t>E. 3.2</w:t>
      </w:r>
    </w:p>
    <w:p>
      <w:r>
        <w:t>En l’occurrence, si les décisions de cotisation du 25 octobre 2023 se limitent à indiquer au recourant qu’il était soumis en tant que personne de condition indépendante pour ses revenus perçus dans le domaine de l’immobilier, il est</w:t>
      </w:r>
    </w:p>
    <w:p>
      <w:r>
        <w:t>A/305/2024 - 8/16 - rappelé que l’intéressé avait préalablement été informé que cette appréciation reposait sur les communications fiscales. De plus, le recourant a parfaitement saisi la portée de ces décisions, comme l’atteste le contenu de son opposition du 25 novembre 2022. Enfin, il sied de constater que la décision sur opposition est dûment motivée et que l’intimée a clairement exposé les motifs sur lesquels elle a fondé son prononcé, étant rappelé qu’elle n’était pas tenue de répondre à tous les arguments avancés par le recourant. Ainsi, la question de savoir si les décisions de cotisations du 25 octobre 2022 respectaient les exigences de motivation peut rester ouverte, l’éventuelle violation du droit d’être entendu ayant de toute façon été réparée par l’intimée dans le cadre de la procédure d’opposition.</w:t>
      </w:r>
    </w:p>
    <w:p>
      <w:r>
        <w:rPr>
          <w:b/>
        </w:rPr>
        <w:t>E. 4</w:t>
      </w:r>
    </w:p>
    <w:p>
      <w:r>
        <w:t>En vertu de l'art. 1a al. 1 let. b LAVS, les personnes physiques qui exercent en Suisse une activité lucrative sont assurés à la LAVS. Selon l’art. 3 al. 1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 L’art 9 al. 1 LAVS prescrit que le revenu provenant d’une activité indépendante comprend tout revenu du travail autre que la rémunération pour un travail accompli dans une situation dépendante. À teneur de l’art. 17 du règlement sur l’assurance-vieillesse et survivants du 31 octobre 1947 (RAVS - RS 831.101), est réputé revenu provenant d’une activité indépendante au sens de l’art. 9 al. 1 LAVS – et dès lors soumis à cotisations AVS – notamment tout revenu acquis dans une situation indépendante provenant de l’exploitation d’une entreprise commerciale, industrielle, artisanale, agricole ou sylvicole ou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rPr>
          <w:b/>
        </w:rPr>
        <w:t>E. 4.1</w:t>
      </w:r>
    </w:p>
    <w:p>
      <w:r>
        <w:t>La simple gestion de fortune privée ne constitue pas une activité indépendante au sens des art. 9 al. 1 LAVS et 17 RAVS, de sorte que le revenu du capital net qui en résulte n'est pas soumis à cotisation.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w:t>
      </w:r>
    </w:p>
    <w:p>
      <w:r>
        <w:t>A/305/2024 - 9/16 -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 125 V 383 consid. 2a ; arrêt du Tribunal 9C_453/2008 du 28 novembre 2008). Les revenus que tire un indépendant d'immeubles dont il est propriétaire ressortissent à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 125 V 383 consid. 2a). La délimitation entre la fortune commerciale et la fortune privée s'opère, en droit des assurances sociales, selon les mêmes critères que ceux établis en matière d'impôt fédéral direct, ce qui ressort notamment des renvois de l’art. 17 RAVS à la LIFD (ATF 134 V 250 consid. 3.2). Ainsi, selon la jurisprudence du Tribunal fédéral, la délimitation précitée dépend de l'ensemble des circonstances du cas d'espèce. Est décisive la fonction économique de la valeur patrimoniale en question (arrêt du Tribunal fédéral 9C_987/2010 du 22 juin 2011, consid. 6.3) ; on considère qu'un bien est attribué à la fortune commerciale lorsqu'il sert effectivement à l'activité commerciale (arrêt du Tribunal fédéral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 arrêt du</w:t>
      </w:r>
    </w:p>
    <w:p>
      <w:r>
        <w:t>A/305/2024 - 10/16 - Tribunal fédéral 2A.677/2004 du 3 novembre 2005 consid. 2.2). En revanche, la location de ses propres immeubles relève en règle générale de l'administration de la fortune privée (arrêt du Tribunal fédéral 9C_987/2010 op. cit, consid. 6.3 ; arrêt du Tribunal fédéral 2P.317/2005 du 3 avril 2006, consid. 2.2).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et que les locataires font un usage commercial de l'immeuble loué ou que le propriétaire de l'immeuble en cause participe ou est intéressé aux activités commerciales du locataire (arrêt du Tribunal fédéral 2P.317/2005 du 3 avril 2006 consid. 2.2).</w:t>
      </w:r>
    </w:p>
    <w:p>
      <w:r>
        <w:rPr>
          <w:b/>
        </w:rPr>
        <w:t>E. 4.2</w:t>
      </w:r>
    </w:p>
    <w:p>
      <w:r>
        <w:t>Conformément à l’art. 24 al. 1 LPGA, le droit à des prestations ou à des cotisations arriérées s'éteint cinq ans après la fin du mois pour lequel la prestation était due et cinq ans après la fin de l'année civile pour laquelle la cotisation devait être payée.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4.3</w:t>
      </w:r>
    </w:p>
    <w:p>
      <w:r>
        <w:t>Selon l’art. 9 al. 2 LAVS, pour déterminer le revenu provenant d’une activité indépendante sont déduits du revenu brut : les frais généraux nécessaires à l’acquisition du revenu brut (let. a) ; les amortissements et les réserves d’amortissement autorisés par l’usage commercial et correspondant à la perte de valeur subie (let. b) ; les pertes commerciales effectives qui ont été comptabilisées (let. c) ;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 l’intérêt du capital propre engagé dans l’entreprise ; le taux d’intérêt correspond au rendement annuel moyen des emprunts en francs suisses des débiteurs suisses autres que les collectivités publiques (let. f). Le Conseil fédéral est autorisé à admettre, au besoin, d’autres déductions du revenu brut, provenant de l’exercice d’une activité lucrative indépendante (al. 2 in fine). L’alinéa 3 prévoit que le revenu provenant d’une activité indépendante et le capital propre engagé dans l’entreprise sont déterminés par les autorités fiscales</w:t>
      </w:r>
    </w:p>
    <w:p>
      <w:r>
        <w:t>A/305/2024 - 11/16 - cantonales et communiqués aux caisses de compensation. Selon l’alinéa 4, les caisses de compensation ajoutent au revenu communiqué par les autorités fiscales les déductions admissibles selon le droit fiscal des cotisations dues en vertu de l’art. 8 LAVS, de l’art. 3, al. 1 de la loi fédérale du 19 juin 1959 sur l’assurance- invalidité et de l’art. 27 al. 2 de la loi du 25 septembre 1952 sur les allocations pour perte de gain. Elles reconstituent à 100% le revenu communiqué en fonction des taux de cotisation applicables. Dans sa teneur en vigueur jusqu’au 31 décembre 2011, l’art. 9 al. 2 let. d LAVS excluait expressément les cotisations AVS/AI/APG des déductions pouvant être faites sur le revenu brut. Le nouvel art. 9 al. 2 let. d LAVS reste muet à ce sujet. Toutefois, les modifications de la LAVS, entrées en vigueur le 1er janvier 2012, ne remettent pas en cause cette non-déductibilité. Dans son message du 3 décembre 2010 relatif à la modification de la LAVS, le Conseil fédéral précise en effet que la déduction des cotisations AVS/AI/APG est admise sur le plan fiscal (cf. art. 33 al. 1 let. d et f de la loi fédérale sur l’impôt fédéral direct [LIFD - RS 642.11]), mais qu’il n’en va pas de même dans l’AVS où la question est désormais réglée à l’art. 9 al. 4 LAVS (FF 2011 519, p. 527 ad art. 9 al. 2 let. d LAVS ; ATAS/1295/2013 du 23 décembre 2013 consid. 7). Le but de l’art. 9 al. 4 LAVS est de décharger les autorités fiscales de l’addition des cotisations déduites et du devoir d’informer les caisses de compensation à ce sujet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 cf. ATF 111 V 289), la caisse doit partir du principe que le revenu communiqué est un revenu net auquel il convient d’ajouter les cotisations AVS/AI/APG. La caisse de compensation, ne doit précisément pas se soucier de savoir si l'autorité fiscale a déduit le revenu annoncé et, le cas échéant, ce qu'elle a déduit. Elle doit partir du principe que le revenu déclaré est un revenu net du point de vue du droit des cotisations et doit imputer les cotisations AVS/AI/APG sur ce revenu.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(ATF 110 V 369 consid. 2a et les références citées). Si l’assuré s’abstient de faire valoir ses droits en matière de taxation (en premier lieu dans la procédure judiciaire fiscale ; arrêt</w:t>
      </w:r>
    </w:p>
    <w:p>
      <w:r>
        <w:t>A/305/2024 - 12/16 - du Tribunal fédéral 9C_253/2014 du 28 juillet 2014 consid. 6.3.1), le revenu que l’autorité fiscale a communiqué à la caisse fait foi (ATF 139 V 537 consid. 5.5). Il y a toutefois lieu de s’écarter de ce principe lorsque la communication de l’autorité fiscale atteste de façon claire, expresse et dénuée de réserve qu’il n’a été procédé à aucune déduction de cotisations (ATF 139 V 537 consid. 6). Lorsqu’il convient de déterminer le revenu soumis à cotisations provenant d’une activité indépendante, l’intérêt du capital propre engagé dans l’entreprise doit être déduit du revenu brut avant que ne soit ajouté par la caisse de compensation le montant des cotisations AVS/AI/APG dont la déduction est admissible selon le droit fiscal (ATF 141 V 433). Les chiffres 1169 et 1170 des Directives sur les cotisations des travailleurs indépendants et des personnes sans activité lucrative dans l'AVS, AI et APG de l’Office fédéral des assurances sociales (ci-après : DIN) rappellent que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Il ne faut déroger à cette règle que lorsqu’il ressort clairement, expressément et sans réserve des indications données par les autorités fiscales qu’aucune déduction n’a été ou ne sera opérée. Dans ce cas, aucun rajout en pour-cent ne doit être effectué.</w:t>
      </w:r>
    </w:p>
    <w:p>
      <w:r>
        <w:rPr>
          <w:b/>
        </w:rPr>
        <w:t>E. 4.4</w:t>
      </w:r>
    </w:p>
    <w:p>
      <w:r>
        <w:t>L’art. 23 al. 4 RAVS prévoit que les caisses de compensation sont liées par les données des autorités fiscales cantonales. Le caractère obligatoire de ces données se limite cependant à la fixation du revenu déterminant ;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w:t>
      </w:r>
    </w:p>
    <w:p>
      <w:r>
        <w:rPr>
          <w:b/>
        </w:rPr>
        <w:t>E. 5</w:t>
      </w:r>
    </w:p>
    <w:p>
      <w:r>
        <w:t>En l’espèce, il convient d’examiner si l’intimée était fondée à affilier le recourant en qualité de personne de condition indépendante et, cas échéant, de déterminer le montant des revenus soumis à cotisations pour les années 2016 à 2019, étant</w:t>
      </w:r>
    </w:p>
    <w:p>
      <w:r>
        <w:t>A/305/2024 - 13/16 - rappelé que le recourant ne conteste que l’ajout de cotisations personnelles pour les quatre années litigieuses, ainsi que le revenu retenu pour 2017.</w:t>
      </w:r>
    </w:p>
    <w:p>
      <w:r>
        <w:rPr>
          <w:b/>
        </w:rPr>
        <w:t>E. 5.1</w:t>
      </w:r>
    </w:p>
    <w:p>
      <w:r>
        <w:t>Il ressort des déclarations fiscales du recourant relatives aux années 2016 à 2019 que celui-ci a expressément indiqué avoir exercé la profession d’ « administrateur », perçu un revenu d’une « activité indépendante » et subi des « pertes commerciales ». Il a notamment chiffré ses « actifs commerciaux bruts/et ou fonds propres », rempli les formulaires relatifs à l’ « activité indépendante » pour ses immeubles répartis dans cinq cantons précisant, sous « Branche/Genre d’activité professionnelle » qu’il s’agissait de la « gestion d’un patrimoine d’immeubles ». Il a déclaré une « fortune commerciale des indépendants » et des « revenus » d’une « activité indépendante », des « passifs commerciaux et/ou découvert commercial », et indiqué que les frais de clientèle et de représentation étaient justifiés par « l’ usage commercial ». Il a par ailleurs produit les bilans au 31 décembre des années litigieuses et les comptes de résultat de l’exercice. Il est donc établi que le recourant a lui-même annoncé aux autorités fiscales qu’il exerçait une activité indépendante et que ses immeubles relevaient de sa fortune commerciale. Au demeurant, la chambre de céans observera que les circonstances du cas d’espèce parlent également en faveur d’une fortune immobilière commerciale. En effet, il ressort de l’écriture du recourant du 22 juin 2023 et du tableau récapitulatif annexé que l’intéressé a réalisé les emprunts hypothécaires suivants : CHF 7'015'000.- pour le premier immeuble acheté à Berne en août 2003 au prix de CHF 8'970'323.- ; CHF 5'000'000.- pour l’immeuble acquis à Zurich en juillet 2005 pour un total de CHF 6'555'334.- ; CHF 6'250'000.- pour l’immeuble de Saint-Gall acheté en juin 2016 pour CHF 7'395'648.- ; CHF 5'850'000.- pour le second bien acheté à Berne en avril 2007 au prix de CHF 6'120'245.- ; CHF 3'750'000.- pour l’immeuble de Genève acquis en octobre 2007 pour la somme de CHF 4'653'147.- ; CHF 5'072'000.- pour le dernier immeuble acheté en juillet 2013 à Aarburg au prix de CHF 6'331'728.-. Pour acquérir ces sept immeubles comprenant 205 appartements au prix total de CHF 40'026'425.-, le recourant s’est endetté à hauteur de CHF 32'937'000.-. De tels emprunts hypothécaires parlent en défaveur d’une simple gestion de la fortune privée, exempte de cotisations. Que le recourant a atteint l’âge légal de la retraite, qu’il soit souffrant ou encore souvent à l’étranger, est sans influence sur la qualification de ses immeubles. De même, que l’intéressé confie la gestion de ses biens à des régies, tout comme le fait qu’il n’a jamais revendu le moindre immeuble, importe peu. Dès lors que les revenus tirés par le recourant proviennent d’immeubles qui appartiennent à sa fortune commerciale, ils sont soumis à cotisations.</w:t>
      </w:r>
    </w:p>
    <w:p>
      <w:r>
        <w:t>A/305/2024 - 14/16 -</w:t>
      </w:r>
    </w:p>
    <w:p>
      <w:r>
        <w:rPr>
          <w:b/>
        </w:rPr>
        <w:t>E. 5.2</w:t>
      </w:r>
    </w:p>
    <w:p>
      <w:r>
        <w:t>Les taxations fiscales pour les années 2016, 2017, 2018 et 2019 ont fait l’objet de décisions notifiées les 4 mai 2021 (2016), 18 août 2021 (2017 et 2018) et 16 mars 2022 (2019). En rendant ses décisions définitives le 25 octobre 2022, l’intimée a donc agi en temps utile.</w:t>
      </w:r>
    </w:p>
    <w:p>
      <w:r>
        <w:rPr>
          <w:b/>
        </w:rPr>
        <w:t>E. 5.3</w:t>
      </w:r>
    </w:p>
    <w:p>
      <w:r>
        <w:t>Selon les communications de l’AFC des 1er mars et 27 avril 2022, qui lient l’intimée, les revenus de l’activité indépendante du recourant se montaient à CHF 516'120.- pour 2016, CHF 285'944.- pour 2017, CHF 776'224.- pour 2018 et CHF 757'501.- pour 2019. L’AFC a détaillé ces revenus dans des documents séparés, intitulés « détail des activités indépendantes », mentionnant les chiffres pertinents en lien avec les immeubles, par canton. Contrairement à ce qui prévaut pour 2016, ces documents ne contiennent pas la mention « Pas de cotisations AVS » pour les années 2017, 2018 et 2019. Cela étant, dans son message du 1er février 2024, l’intimée a demandé à l’AFC de lui confirmer que les revenus pour les années 2016 à 2019 étaient bien les revenus nets desquels les cotisations AVS/AI/APG avaient déjà été déduites, ce que l’intéressé contestait. Le lendemain, l’AFC lui a écrit « Je vous confirme qu’aucun acompte de cotisations AVS n’a été déclaré pour toutes ces années, sur chacune des déclarations il y a le chiffre 0.- dans la rubrique 32.10 de la feuille B4, à savoir les acomptes AVS/AI, APG, AF, Amat ». Il ressort ainsi clairement et expressément de ce courriel qu’aucun acompte de cotisations n’a été déclaré, et ce pour les quatre années litigieuses. Ces informations sont au demeurant corroborées par les déclarations d’impôt produites par le recourant et par ses avis de taxation. Dans ces circonstances, il y a lieu de conclure que l’AFC a communiqué à l’intimée des revenus bruts pour les années 2016 à 2019, sans déduction de cotisations sociales. Il en résulte que l’intimée n’aurait pas dû ajouter aux revenus du recourant les déductions admissibles selon le droit fiscal des cotisations AVS/AI/APG en application de l’art. 9 al. 4 LAVS. Enfin, comme précédemment relevé, l’intimée s’est écartée sans justification des montants mentionnés par l’AFC concernant les années 2016 et 2017. Étant rappelé le caractère obligatoire des communications de l’AFC s’agissant de la fixation du revenu déterminant, il y a lieu de conclure que le revenu de l’activité indépendante doit être arrêté à CHF 516'120.- pour 2016 et à CHF 285'944.-.</w:t>
      </w:r>
    </w:p>
    <w:p>
      <w:r>
        <w:rPr>
          <w:b/>
        </w:rPr>
        <w:t>E. 6</w:t>
      </w:r>
    </w:p>
    <w:p>
      <w:r>
        <w:t>Au vu de ce qui précède, le recours sera partiellement admis, la décision litigieuse annulée et la cause renvoyée à l’intimée pour nouveaux calculs et nouvelles décisions de cotisations personnelles et d’intérêts moratoires sur l’arriéré de cotisations, pour les années 2016, 2017, 2018 et 2019, dans le sens des considérants.</w:t>
      </w:r>
    </w:p>
    <w:p>
      <w:r>
        <w:t>A/305/2024 - 15/16 - Le recourant obtenant partiellement gain de cause, une indemnité de CHF 2'000.- lui sera allouée à titre de dépens (art. 61 let. g LPGA). Pour le surplus, la procédure est gratuite (art. 61 let. fbis LPGA a contrario).</w:t>
      </w:r>
    </w:p>
    <w:p>
      <w:r>
        <w:t>A/305/2024 - 16/16 -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