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ATAS/500/2020 vom 22. Juni 2020</w:t>
      </w:r>
    </w:p>
    <w:p>
      <w:r>
        <w:t>GE Cour de justice, 2020-06-22, FR</w:t>
      </w:r>
    </w:p>
    <w:p>
      <w:r>
        <w:rPr>
          <w:b/>
        </w:rPr>
        <w:t xml:space="preserve">Quelle: </w:t>
      </w:r>
      <w:r>
        <w:t>https://mcp.opencaselaw.ch/entscheid/ge_gerichte_ATAS_500_2020</w:t>
      </w:r>
    </w:p>
    <w:p>
      <w:r>
        <w:t>FR: GE_GERICHTE ATAS/500/2020 du 22 juin 2020</w:t>
      </w:r>
    </w:p>
    <w:p>
      <w:r>
        <w:t>IT: GE_GERICHTE ATAS/500/2020 del 22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interjeté dans les forme et délai prévus par la loi (art. 56ss LPGA), est recevable. En particulier, ses conclusions, malgré leur formulation, seront interprétées comme étant de nature condamnatoire. Elles sont dès lors recevables (cf. sur ce point ATF 129 V 289 consid. 2.1).</w:t>
      </w:r>
    </w:p>
    <w:p>
      <w:r>
        <w:rPr>
          <w:b/>
        </w:rPr>
        <w:t>E. 3</w:t>
      </w:r>
    </w:p>
    <w:p>
      <w:r>
        <w:t>Le litige porte sur le droit de la recourante à une rente d’invalidité.</w:t>
      </w:r>
    </w:p>
    <w:p>
      <w:r>
        <w:rPr>
          <w:b/>
        </w:rPr>
        <w:t>E. 4</w:t>
      </w:r>
    </w:p>
    <w:p>
      <w:r>
        <w:t>L'invalidité est une notion économique et non médicale, où sont prises en compte les répercussions de l'atteinte à la santé sur la capacité de gain (arrêt du Tribunal fédéral des assurances I 15/06 du 21 décembre 2006 consid. 2.2).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w:t>
      </w:r>
    </w:p>
    <w:p>
      <w:r>
        <w:t>A/4284/2019 - 7/11 - raisonnablement être exigée de lui après les traitements et les mesures de réadaptation, sur un marché du travail équilibré (art. 16 LPGA et art. 28 al. 2 LAI).</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w:t>
      </w:r>
    </w:p>
    <w:p>
      <w:r>
        <w:t>A/4284/2019 - 8/11 -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w:t>
      </w:r>
    </w:p>
    <w:p>
      <w:r>
        <w:t>A/4284/2019 - 9/11 -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w:t>
      </w:r>
    </w:p>
    <w:p>
      <w:r>
        <w:rPr>
          <w:b/>
        </w:rPr>
        <w:t>E. 8</w:t>
      </w:r>
    </w:p>
    <w:p>
      <w:r>
        <w:t>En l’espèce, la Dresse D______ a admis une pleine capacité de travail dans une activité adaptée aux limitations fonctionnelles de la recourante dès le 1er mars 2019. Si les rapports émanant de cette spécialiste ne contiennent certes pas tous les éléments nécessaires à une expertise pour se voir reconnaître valeur probante selon la jurisprudence, force est néanmoins de constater que la Dresse D______ y a relaté l’anamnèse et les plaintes de la recourante, que ses diagnostics sont clairs et que les limitations fonctionnelles paraissent plausibles au vu des atteintes retenues. Il n’existe de plus aucun avis divergent quant à l’aptitude de la recourante à reprendre une activité adaptée dès le 1er mars 2019. Les arrêts de travail établis par la Dresse C______ portent en effet sur une période antérieure. Le chirurgien ayant procédé à l’ablation du lipome a quant à lui uniquement attesté une incapacité de travail transitoire, qui s’est achevée le 1er décembre 2018, et il a précisé que l’intervention pratiquée par ses soins n’entraînait aucune limitation fonctionnelle. Enfin, le Dr E______ne s’est pas prononcé sur la capacité de travail ou de gain de la recourante. Il n’existe ainsi aucune raison de s’écarter de la conclusion de la Dresse D______, selon laquelle la recourante dispose d’une pleine capacité de gain dès le 1er mars 2019 dans une activité adaptée à ses limitations fonctionnelles. L’absence de document précisant les répercussions de l’atteinte à l’épaule sur la fonction articulaire, mentionnée par le médecin du SMR, ne suffit pas à retenir que la cause serait insuffisamment instruite au plan médical. En effet, la Dresse D______ a bien tenu compte des découvertes de l’IRM de l’épaule droite, puisqu’elle a rapporté des douleurs de cette articulation et posé un diagnostic d’omalgie droite. En outre, ses limitations fonctionnelles excluent le travail au- dessus de l’horizontale. Le dossier établi par l’intimé ne paraît ainsi pas lacunaire</w:t>
      </w:r>
    </w:p>
    <w:p>
      <w:r>
        <w:t>A/4284/2019 - 10/11 - sur ce point. On peut toutefois se rallier aux limitations plus restrictives émises par la Dresse G______, interdisant le port répétitif de charge de plus de 5 kg avec le membre supérieur droit. Compte tenu de ce qui précède, la mise en œuvre d’une expertise s’avère superfétatoire, par appréciation anticipée des preuves (ATF 130 II 425 consid. 2.1). Il en va de même de l’audition des Dresses D______ et C______, dont la recourante ne précise du reste pas en quoi elle serait nécessaire, étant en outre souligné que c’est essentiellement sur l’avis de la première citée que l’intimé a fondé sa décision. Enfin, au vu des circonstances, la chambre de céans renoncera également à entendre la recourante, qui n’expose pas que son audition serait essentielle pour l’établissement des faits. Cela étant établi, force est de constater que la décision litigieuse se fonde sur la prémisse erronée que la recourante aurait recouvré dès le 1er mars 2019 sa pleine capacité de travail en qualité de femme de chambre. Or, comme l’intimé l’a implicitement admis dans sa réponse, cette activité n’est pas compatible avec les limitations fonctionnelles admises. La recourante a subi une incapacité de travail totale de juin 2018 à février 2019, soit pendant une période inférieure au délai de carence d’un an, puis était capable de travailler dans une activité adaptée à ses limitations fonctionnelles. Dans un tel cas, il convient de comparer, au 1er mars 2019, les revenus après et avant invalidité. S’agissant du revenu sans invalidité, l’ex-employeur a indiqué en 2019 que le revenu se serait élevé à CHF 3'470.- sans atteinte à la santé, soit CHF 41'640.- par an. Quant au revenu après invalidité, dès lors que la recourante n’a pas repris d’activité, il convient de se référer au revenu statistique tiré d’activités simples et répétitives (ESS 2018, TA1_tirage_skill_level, niveau 1, ligne Total). En effet, cette valeur statistique s'applique aux assurés qui conservent une capacité de travail dans des activités simples et répétitives. Elle recouvre un large éventail d'activités variées et non qualifiées, ne requérant pas d'expérience professionnelle spécifique, ni de formation particulière (arrêt du Tribunal fédéral 9C_458/2018 du 17 octobre 2018 consid. 4.1). Ce revenu était de CHF 4'371.- par mois pour une femme en 2018. Adapté à la durée normale de travail de 41.7 heures, il représente CHF 54'681.- par année. L’évolution des salaires en 2019 n’étant pas encore connue, la chambre de céans n’indexera pas le revenu après invalidité, ce qui est favorable à la recourante. Même s’il fallait tenir compte de l’abattement maximal de 25 % sur le revenu après invalidité, ce qui le porterait à CHF 41'011.-, la perte de gain serait de 1.51 %. Cela s’avère insuffisant pour ouvrir le droit à une rente. La décision de l’intimée doit ainsi être confirmée dans son résultat.</w:t>
      </w:r>
    </w:p>
    <w:p>
      <w:r>
        <w:rPr>
          <w:b/>
        </w:rPr>
        <w:t>E. 9</w:t>
      </w:r>
    </w:p>
    <w:p>
      <w:r>
        <w:t>Le recours est rejeté. La recourante, qui succombe, supporte l’émolument de procédure de CHF 200.- (art. 69 al. 1bis LAI).</w:t>
      </w:r>
    </w:p>
    <w:p>
      <w:r>
        <w:t>A/4284/2019 - 11/11 -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