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ATAS/4/2019 vom 7. Januar 2019</w:t>
      </w:r>
    </w:p>
    <w:p>
      <w:r>
        <w:t>GE Cour de justice, 2019-01-07, FR</w:t>
      </w:r>
    </w:p>
    <w:p>
      <w:r>
        <w:rPr>
          <w:b/>
        </w:rPr>
        <w:t xml:space="preserve">Quelle: </w:t>
      </w:r>
      <w:r>
        <w:t>https://mcp.opencaselaw.ch/entscheid/ge_gerichte_ATAS_4_2019</w:t>
      </w:r>
    </w:p>
    <w:p>
      <w:r>
        <w:t>FR: GE_GERICHTE ATAS/4/2019 du 7 janvier 2019</w:t>
      </w:r>
    </w:p>
    <w:p>
      <w:r>
        <w:t>IT: GE_GERICHTE ATAS/4/2019 del 7 gennaio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à 60 cum art. 30 LPGA, ainsi que 64 al. 2 et 89A et ss LPA) dans la mesure où il tend implicitement à l'annulation de la décision entreprise.</w:t>
      </w:r>
    </w:p>
    <w:p>
      <w:r>
        <w:rPr>
          <w:b/>
        </w:rPr>
        <w:t>E. 3</w:t>
      </w:r>
    </w:p>
    <w:p>
      <w:r>
        <w:t>Le litige se limite au point de savoir si l’intimé était fondé à refuser d’entrer en matière sur la dernière demande de prestations du recourant.</w:t>
      </w:r>
    </w:p>
    <w:p>
      <w:r>
        <w:rPr>
          <w:b/>
        </w:rPr>
        <w:t>E. 4</w:t>
      </w:r>
    </w:p>
    <w:p>
      <w:r>
        <w:t>A teneur de l'art. 1 al.1 LAI, les dispositions de la loi fédérale du 6 octobre 2000 sur la partie générale du droit des assurances sociales (LPGA) s’appliquent à l’AI (art. 1a à 26bis et 28 à 70), à moins que la présente loi ne déroge expressément à la LPGA.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(al.2).</w:t>
      </w:r>
    </w:p>
    <w:p>
      <w:r>
        <w:t>A/1233/2018 - 9/16 -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w:t>
      </w:r>
    </w:p>
    <w:p>
      <w:r>
        <w:rPr>
          <w:b/>
        </w:rPr>
        <w:t>E. 5</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6</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w:t>
      </w:r>
    </w:p>
    <w:p>
      <w:r>
        <w:t>A/1233/2018 - 10/16 -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w:t>
      </w:r>
    </w:p>
    <w:p>
      <w:r>
        <w:rPr>
          <w:b/>
        </w:rPr>
        <w:t>E. 7</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8</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et Michel VALTERIO Droits de l'assurance-vieillesse et survivant (AVS) et de l'assurance-invalidité (AI) Schulthess 2011, p. 840 ch. 3095).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w:t>
      </w:r>
    </w:p>
    <w:p>
      <w:r>
        <w:t>A/1233/2018 - 11/16 - arrêts du Tribunal fédéral 9C_789/2012 du 27 juillet 2013, 9C 959/2011 du 6 août 2012 consid. 4.3).</w:t>
      </w:r>
    </w:p>
    <w:p>
      <w:r>
        <w:rPr>
          <w:b/>
        </w:rPr>
        <w:t>E. 9</w:t>
      </w:r>
    </w:p>
    <w:p>
      <w:r>
        <w:t>En l'espèce, il est constant que la seule question litigieuse porte sur le fait de savoir si le recourant a, dans le cadre de sa nouvelle demande, déposée le 24 juillet 2017, démontré de manière plausible que son état de santé s'était aggravé depuis la dernière décision entrée en force par laquelle l'OAI avait statué sur ses droits, en l'occurrence en rejetant sa première demande de prestations, soit en l'espèce le 1er septembre 2015. a. On observera tout d'abord que l'assuré a indiqué dans sa nouvelle demande du 24 juillet 2017 qu'il était en incapacité de travail à 50 % depuis mai 2011 pour une période indéterminée. Quant à la description du genre d'atteinte à la santé motivant sa démarche, il a mentionné : troubles ostéoarticulaires sur dégénérescence ; syndrome d'apnées du sommeil (SAS) ; troubles O.R.L. : vertige et troubles de l'audition, fibromyalgie, tendinite chronique, handicap physique main droite, état dépressif, le tout depuis 2008 - 2009. Il était toujours suivi (depuis mars 2009) par le Dr B______). Force est de constater que tous ces éléments étaient déjà connus et pris en compte non seulement au moment du rejet de la demande de prestations du 1er septembre 2015, mais déjà par les experts de la CRR dans le rapport principal et complémentaire de 2013. L'incapacité de travail qu'il articule ainsi dans sa nouvelle demande ne faisait que reprendre ce qu'avait toujours retenu son médecin traitant de l'époque, le Dr B______, son avis n'ayant pas été retenu à l'époque, par les experts et par l'OAI, qui retenait une pleine capacité de travail dans une activité adaptée aux limitations retenues. On comprend dès lors que, à réception cette demande, l'OAI n’ait pu d'emblée reconnaître la possibilité d'une aggravation alléguée, et ait imparti un délai de trente jours à l'assuré pour l'inviter à compléter sa demande avec des documents notamment médicaux susceptibles de rendre plausible l'aggravation alléguée. b. L'assuré a produit dans le délai imparti un certificat médical établi par le Dr B______ le 7 août 2017. Il s'agit de déterminer si ce document était susceptible de rendre plausible une aggravation de l'état de santé du patient: ce document se borne à « (certifier) que l'état de santé de (son patient) était actuellement en nette aggravation en raison de troubles de l'humeur sévère se manifestant par un état dépressif avec réactions violentes importantes et abus d'alcool », le médecin indiquant que cet état amène une dangerosité certaine envers lui-même et envers autrui. On observera ainsi que le médecin traitant, outre le fait de rester totalement évasif quant au point de départ d'une prétendue aggravation de l'état de santé, n'évoque rien d'autre que ce qu'il affirmait déjà dans le cadre de la première demande de prestation de son patient. Il n'a, à juste titre, évoqué aucune aggravation sur le plan somatique, dès lors que tous les aspects évoqués par son patient dans sa nouvelle demande de prestations étaient déjà connus à l'époque de la première demande, et avaient dûment été pris en compte dans la décision ayant conduit au rejet de cette dernière, et notamment été évalués dans le cadre de</w:t>
      </w:r>
    </w:p>
    <w:p>
      <w:r>
        <w:t>A/1233/2018 - 12/16 - l'expertise du CRR de 2013, à laquelle la chambre de céans avait accordé toute valeur probante dans son arrêt dans son arrêt du 28 novembre 2016, confirmé par le Tribunal fédéral dans son arrêt du 21 avril 2017. Il ne fait valoir l'aggravation alléguée que sous l'angle d'un trouble de l'humeur sévère se manifestant par un état dépressif et abus d'alcool. On relèvera encore à ce sujet que ces troubles psychiques avaient déjà été évoqués dans le cadre de la première demande. À l'époque d'ailleurs, le médecin traitant évoquait déjà un état dépressif chronique (voir notamment son rapport médical du 1er juin 2011) et les troubles de l'humeur, les considérant déjà comme incapacitants; mais initialement il n'avait pas évoqué les problèmes d'alcool - qui pourtant étaient déjà significatifs à l'époque, mais n'avaient été admis par l'assuré lui-même qu'au stade de l'expertise de la CRR. On ne saurait dès lors prétendre, comme le soutient le recourant dans ses écritures, que la nouvelle demande n'était pas fondée sur les mêmes atteintes à la santé que la précédente. Ceci dit, le médecin traitant considère comme un « facteur fortement aggravant » la situation sociale imposée à son patient par les décisions de différents organismes (évoquant à ce sujet le refus de prestations de l'OAI, en particulier). Il indique enfin que selon lui un suivi spécialisé est « actuellement » nécessaire; ce qui ne constitue pas non plus un indice de plausibilité de l'aggravation alléguée, d'autant que dans le cadre de la première demande, ce même médecin évoquait déjà le fait que son patient n'était pas au bénéfice d'un suivi psychiatrique depuis longue date, et relevait dans sa critique du rapport de la CRR (rapport médical du Dr B______ du 19 août 2014), que les experts avaient sous-évalué les troubles de l'humeur, et dénié à tort le caractère de maladie de la consommation importante d'alcool de son patient. C'est ainsi à juste titre que le SMR a, sur cette base, dans son avis du 29 septembre 2017, considéré que l'aggravation n'était pas rendue plausible; sur la base de quoi l'OAI avait adressé à l'assuré son projet de refus d'entrée en matière du 2 octobre 2017. c. Dans le cadre de l'audition, l'assuré a produit un rapport de la Dresse D______. Le rapport de cette psychiatre, n'est pas plus convaincant, et l'on ne saurait en déduire des indices plausibles d'une aggravation de l'état de santé du patient. Dans son rapport, daté du 27 novembre 2017, la Dresse D______ indique suivre le patient depuis le 28 septembre 2017, adressé par le médecin traitant généraliste, pour un suivi psychiatrique dans le cadre d'une symptomatologie dépressive – qu'elle affirme avoir effectivement constatée – et correspondant actuellement à un épisode dépressif moyen à sévère. Elle retient les diagnostics actuels suivants : sur le plan de purement psychiatrique: - épisode dépressif moyen à sévère évoluant depuis 2007, avec symptômes somatiques, sans symptômes psychotiques ; - troubles mentaux et du comportement lié à l'utilisation d'alcool avec dépendance depuis 2008. Elle énumère ensuite une longue série de diagnostics somatiques, déjà connus, remontant pour l'essentiel aux années 2008 voire antérieures, avec nombre de status post… Tous antérieurs à la</w:t>
      </w:r>
    </w:p>
    <w:p>
      <w:r>
        <w:t>A/1233/2018 - 13/16 - première demande de prestations AI. Elle transcrit ensuite le status détaillé : elle décrit abondamment les plaintes de l'assuré et ses propres constatations. En conclusion elle indique que le patient présente actuellement les signes d'une symptomatologie dépressive moyenne à sévère qui semble évoluer depuis au moins 2009; elle relève encore que le patient ne se plaint pas de symptômes psychiques au premier plan, mais plutôt de symptômes somatiques. Lorsqu'on lui parle de symptômes dépressifs, il n'en comprend pas le sens et demande des explications. Elle relève des plaintes somatiques que son patient fait remonter à 2005, dont une partie pourrait être corrélée avec les symptômes du SAS découvert en 2007 (troubles du sommeil, fatigue, fatigabilité, somnolence diurne, baisse de la concentration et troubles de la mémoire) et remarque que ces plaintes somatiques se sont aggravées à partir de son licenciement. Elle indique que l'intéressé a une capacité d'introspection limitée et que son ressenti passe plutôt par la somatisation, même si nombre des consultations effectuées au fil de ces dernières années ont clairement mis en évidence des troubles physiques. Il continuait actuellement à faire des démarches pour chercher un travail, mais il est découragé, se sent impuissant, incapable d'y faire face malgré ses efforts. Sa capacité de s'investir est faible, restant la plupart du temps enfermé chez lui à ruminer, devenu de plus en plus triste et irritable. Il a limité ses relations sociales, et familiales pour éviter des accès de colère incontrôlables. De même pour ne pas s'alcooliser il éviterait de sortir et limiterait ainsi le contact avec des copains du quartier. Il ne s'intéresserait plus à rien, aurait perdu confiance en lui, ne serait plus sûr de ses gestes, aurait perdu une partie de l'habileté manuelle de sa main valide en raison de tremblements et de lâchages. Ce faisant elle ne fait que se fonder sur les déclarations mêmes de son patient, sans la moindre corrélation avec des éléments objectifs. Elle conclut ainsi que sa CT est actuellement nulle, les symptômes psychiques présents se surajoutant à toutes les limitations constatées par les experts en 2014 (recte: 2013) et l'empêchant de fournir une activité. La psychiatre traitante conclut enfin qu'actuellement, au vu de la situation de son patient elle considère qu'il a une incapacité de travail totale qui justifie une demande de rente de 100%. Force est de constater que les observations de la psychiatre traitante ne permettent nullement de déceler la plausibilité d'une aggravation de l'état de santé de l'assuré. Le fait que ce dernier lui ait été adressé, à ce stade, par le médecin traitant, n'est pas en soi un indice d'une aggravation plausible de son état, d'autant que cette consultation intervient au stade de l'audition dans le contexte d'un refus probable et imminent d'entrée en matière. Les considérations de la psychiatre traitante reposent essentiellement sur les déclarations de son patient, évoquant par exemple le fait qu'une année ou deux ans auparavant l'intéressé aurait "pensé" au suicide, errant sans but pendant une semaine, après une violente dispute avec son épouse, mais en décidant finalement de rentrer à la maison. À en croire toutefois le médecin – répercutant toujours les seules déclarations du patient -, la situation actuelle avait plutôt tendance à s'améliorer (diminution de la consommation d'alcool, et réduction</w:t>
      </w:r>
    </w:p>
    <w:p>
      <w:r>
        <w:t>A/1233/2018 - 14/16 - du nombre de cigarettes par jour, prise de conscience des répercussions sur son comportement, son humeur et sa santé, abstinence d'alcool « pendant son travail »). Il reste que le patient focalise ses colères et sa frustration contre l'OAI - étant rappelé que le recourant a présenté sa nouvelle demande de prestations quelque trois mois après l'arrêt du Tribunal fédéral confirmant le rejet de son précédent recours. Au final, la psychiatre traitante n'évoque que des problématiques déjà connues, ayant conduit au premier rejet de la demande de prestations de l'assuré, en raison d'un taux d'invalidité insuffisant (27 %); étant rappelé qu'à l'époque déjà, soit dans le courant de l'année 2014, alors que l'OAI avait consenti à l'intéressé une mesure professionnelle, le rapport de fin de mesure de réadaptation professionnelle du 6 mai 2014 constatait que la première partie de la mesure professionnelle suivie par l'assuré avait permis d'observer une très grande habileté manuelle, malgré l'atteinte à la main droite et qu'en dépit de ses plaintes somatiques et ses problèmes de fatigabilité, l'intéressé avait pu développer les activités proposées sans aucune baisse de rendement. Un changement d'attitude de l'assuré avait toutefois été perçu durant la seconde partie de la mesure, avec l'interruption du stage en entreprise après deux jours, en raison de douleurs dorsales, le refus de suivre le module interne de conciergerie et finalement la verbalisation du fait qu'il souhaitait percevoir une rente, plutôt que de suivre une mesure de réadaptation professionnelle. Il résulte au final du long rapport de la psychiatre traitante, que la situation qui prévalait au moment de la première décision de refus n'a guère évolué, et en tout état cette spécialiste n'indique aucun élément concret susceptible de démontrer la plausibilité d'une aggravation de l'état de santé, encore moins ce qui justifierait selon elle une incapacité de travail à 100 % sur le plan psychique. En posant le diagnostic d'épisode dépressif moyen à sévère évoluant depuis 2007, avec symptômes somatiques, sans symptômes psychotiques, et troubles mentaux et du comportement lié à l'utilisation d'alcool avec dépendance depuis 2008, la psychiatre traitante ne procède en réalité qu'à une appréciation (partiellement) différente d'une situation de fait identique à celle prévalant au moment du premier refus de prestations de l'intimé. Du reste, outre les contradictions relevées précédemment (apparente amélioration plutôt qu'une aggravation de l'état de santé), ce médecin sort finalement du domaine de sa compétence en estimant que l'incapacité de travail, totale selon elle, justifierait une demande de rente AI à 100 %. Ainsi, l'avis médical du SMR du 6 février 2018 - sur lequel se fonde la décision de rejet de la demande de prestations -, relevant notamment que la psychiatre n'apporte pas de nouveaux éléments et, dans le status, ne décrit pas les éléments qui justifieraient l'aggravation et la nouvelle demande, mais au contraire que l'assuré ne se plaint pas de symptômes psychiques au premier plan mais plutôt de symptômes somatiques, est cohérent et ne saurait dès lors être critiqué. d. Il résulte ainsi de ce qui précède que l'on ne saurait faire grief à l'intimé d'avoir refusé d'entrer en matière, dans ces conditions: outre le fait que l'OAI a</w:t>
      </w:r>
    </w:p>
    <w:p>
      <w:r>
        <w:t>A/1233/2018 - 15/16 - scrupuleusement respecté les directives jurisprudentielles en cas de présentation, non conforme aux conditions de l'art. 87 al. 2 et RAI, d'une demande de prestations après un premier refus dû au fait que le taux d'invalidité était insuffisant, la chambre de céans ne peut que constater que cette demande était manifestement insuffisante en regard des principes rappelés ci-dessus, notamment quant aux conditions mentionnées à l'art. 87 al. 2 et RAI et à la jurisprudence y relative, qui rappelle que les conditions d'entrée en matière prévues par l'art. 87 al. 2 et 3 RAI ont pour but de restreindre la possibilité de présenter de manière répétée des demandes de rente identiques, l’exigence du caractère plausible d’une modification de l’état de santé susceptible d’influencer les droits de l’assuré devant permettre à l'administration d'écarter sans plus ample examen de nouvelles demandes, respectivement des demandes de révision dans lesquelles l'assuré se borne à répéter les mêmes arguments, sans alléguer une modification des faits déterminants (ATF 133 V 108 consid. 5.3.1 et ATF 125 V 410 consid. 2b, 117 V 198 consid. 4b et les références). e. Il est enfin rappelé que la chambre de céans doit apprécier la situation en fonction de l'état du dossier au moment où la décision litigieuse a été rendue, en cas de recours contre une décision de refus d'entrer en matière, elle ne peut se prononcer que sur la question de savoir si c'est à juste titre qu'au moment où l'intimé a rendu la décision entreprise il était fondé à refuser l'entrée en matière; ce qui est le cas en l'espèce. Les pièces médicales (courriers de la Dresse D______ du</w:t>
      </w:r>
    </w:p>
    <w:p>
      <w:r>
        <w:rPr>
          <w:b/>
        </w:rPr>
        <w:t>E. 12</w:t>
      </w:r>
    </w:p>
    <w:p>
      <w:r>
        <w:t>mars 2018 valant recours – voir ci-dessus en fait ad ch.19 – et du Dr B______ du 10 avril 2018) postérieures à la décision entreprise ne sauraient ainsi être prises en considération. Il sera d'ailleurs observé que, quoi qu'il en soit, ces éléments ne seraient d'aucun secours au recourant. À l'instar du courrier adressé le 10 avril 2018 par le Dr B______ à l'OAI et transmis à la chambre de céans pour raisons de compétence, ils seraient même contre-productifs: ainsi, dans ce dernier courrier, le médecin traitant revient tout simplement sur ses critiques - antérieures au dépôt de la nouvelle demande de prestations -, à l'endroit des experts de la CRR, pour justifier la nouvelle demande de prestations; et, sortant manifestement de sa réserve, il considère que l'attitude de l'intimé et de ses experts feraient preuve « d'une indiscutable cruauté à l'encontre de son patient » . Au vu de ce qui précède, la décision litigieuse n'est pas critiquable. C'est donc à juste titre que l'intimée a refusé d'entrer en matière. 10. Mal fondé, le recours sera donc rejeté. 11. La procédure n'est pas gratuite - ce qui a d'ailleurs été rappelé au recourant, par la chambre de céans, dans l'annexe à son courrier du 17 avril 2018: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CHF 200.- et CHF. 1'000.-. Il y a dès lors lieu de condamner le recourant au paiement d'un émolument de CHF 200.-.</w:t>
      </w:r>
    </w:p>
    <w:p>
      <w:r>
        <w:t>A/1233/2018 - 16/16 -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