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ATAS/49/2026 vom 21. Januar 2026</w:t>
      </w:r>
    </w:p>
    <w:p>
      <w:r>
        <w:t>GE Cour de justice, 2026-01-21, FR</w:t>
      </w:r>
    </w:p>
    <w:p>
      <w:r>
        <w:rPr>
          <w:b/>
        </w:rPr>
        <w:t xml:space="preserve">Quelle: </w:t>
      </w:r>
      <w:r>
        <w:t>https://mcp.opencaselaw.ch/entscheid/ge_gerichte_ATAS_49_2026</w:t>
      </w:r>
    </w:p>
    <w:p>
      <w:r>
        <w:t>FR: GE_GERICHTE ATAS/49/2026 du 21 janvier 2026</w:t>
      </w:r>
    </w:p>
    <w:p>
      <w:r>
        <w:t>IT: GE_GERICHTE ATAS/49/2026 del 21 gennaio 2026</w:t>
      </w:r>
    </w:p>
    <w:p>
      <w:pPr>
        <w:pStyle w:val="Heading2"/>
      </w:pPr>
      <w:r>
        <w:t>Volltext</w:t>
      </w:r>
    </w:p>
    <w:p>
      <w:r>
        <w:t>Siégeant : Catherine TAPPONNIER, présidente ; Larissa ROBINSON-MOSER et Antonio Massimo DI TULLIO , juges assesseurs.</w:t>
      </w:r>
    </w:p>
    <w:p>
      <w:r>
        <w:t>RÉPUBLIQUE ET</w:t>
      </w:r>
    </w:p>
    <w:p>
      <w:r>
        <w:t>CANTON DE GEN ÈVE POUVOIR JUDICIAIRE</w:t>
      </w:r>
    </w:p>
    <w:p>
      <w:r>
        <w:t>A/4075/2025 ATAS/49/2026 COUR DE JUSTICE Chambre des assurances sociales Arrêt du 21 janvier 2026 Chambre 4</w:t>
      </w:r>
    </w:p>
    <w:p>
      <w:r>
        <w:t>En la cause A______</w:t>
      </w:r>
    </w:p>
    <w:p>
      <w:r>
        <w:t>recourante contre</w:t>
      </w:r>
    </w:p>
    <w:p>
      <w:r>
        <w:t>SUVA CAISSE NATIONALE SUISSE D'ASSURANCE EN CAS D'ACCIDENTS</w:t>
      </w:r>
    </w:p>
    <w:p>
      <w:r>
        <w:t>intimé</w:t>
      </w:r>
    </w:p>
    <w:p>
      <w:r>
        <w:t>- 2/3-</w:t>
      </w:r>
    </w:p>
    <w:p>
      <w:r>
        <w:t>A/4075/2025 ATTENDU EN FAIT Que par décision du 31 octobre 2025, la SUVA CAISSE NATIONALE SUISSE D'ASSURANCE EN CAS D'ACCIDENTS (ci-après : SUVA) a confirmé sa décision du 22 août 2025, qui niait à A______ (ci-après : l’assurée) le droit aux prestations en lien avec l’évènement du 17 février 2025 et lui demandait la restitution des prestations versées à tort ; Que par courriel du 18 novembre 2025, l’assurée a formé recours contre cette décision ; Que le 19 novembre 2025, la chambre des assurances sociales de la Cour de justice (ci-après : la chambre de céans) a accordé à l’assurée, par pli recommandé et par pli simple, un délai au 10 décembre 2025 pour apposer sa signature manuscrite sur son recours ; Que le pli recommandé n’a pas été réclamé par l’assurée et que le pli simple a été retourné à l’expéditeur, que l’assurée n’ayant pu être localisée ; Que cette dernière n’a en conséquence pas signé son recours dans le délai accordé.</w:t>
      </w:r>
    </w:p>
    <w:p>
      <w:r>
        <w:t>EN DROIT Que selon l’art. 89B al. 1 de la loi sur la procédure administrative du 12 septembre 1985 (LPA - E 5 10), le recours, signé et déposé en deux exemplaires par-devant la Chambre des assurances sociales de la Cour de justice, doit comporter des motifs et des conclusions ; Que si le mémoire n'est pas conforme à ces règles, un délai convenable est imparti à son auteur pour le compléter, étant précisé qu'en cas d'inobservation, le recours sera écarté (art. 89B al. 3 LPA) ; Que le Tribunal fédéral se montre strict s’agissant de la forme écrite et qu’il considère que la partie recourante – même non représentée par un avocat – sait ou doit savoir qu’un recours adressé au tribunal par télécopie ou courrier électronique ne remplit pas l’exigence de la forme écrite et que le recours est, dans ce cas irrecevable, sans qu’un délai complémentaire pour le rectifier doive être imparti, sous la réserve que si un recours signé peut encore être déposé avant l’échéance du délai légal, le tribunal doit rendre attentive la partie concernée (CR LPGA-Métral, art. 61 N 46) ; Qu'en l'occurrence, la recourante n'a pas signé son recours dans le délai imparti ; Que partant, son recours doit être déclaré irrecevable ; Que la procédure est gratuite.</w:t>
      </w:r>
    </w:p>
    <w:p>
      <w:r>
        <w:t>- 3/3-</w:t>
      </w:r>
    </w:p>
    <w:p>
      <w:r>
        <w:t>A/4075/2025 PAR CES MOTIFS, LA CHAMBRE DES ASSURANCES SOCIALES : Statuant À la forme :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Janeth WEPF</w:t>
      </w:r>
    </w:p>
    <w:p>
      <w:r>
        <w:t>La présidente</w:t>
      </w:r>
    </w:p>
    <w:p>
      <w:r>
        <w:t>Catherine TAPPONNIER</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