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ATAS/49/2024 vom 29. Januar 2024</w:t>
      </w:r>
    </w:p>
    <w:p>
      <w:r>
        <w:t>GE Cour de justice, 2024-01-29, FR</w:t>
      </w:r>
    </w:p>
    <w:p>
      <w:r>
        <w:rPr>
          <w:b/>
        </w:rPr>
        <w:t xml:space="preserve">Quelle: </w:t>
      </w:r>
      <w:r>
        <w:t>https://mcp.opencaselaw.ch/entscheid/ge_gerichte_ATAS_49_2024</w:t>
      </w:r>
    </w:p>
    <w:p>
      <w:r>
        <w:t>FR: GE_GERICHTE ATAS/49/2024 du 29 janvier 2024</w:t>
      </w:r>
    </w:p>
    <w:p>
      <w:r>
        <w:t>IT: GE_GERICHTE ATAS/49/2024 del 29 gennaio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 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1er janvier 2021 est entrée en vigueur la modification du 21 juin 2019 de la LPGA. Interjeté postérieurement au 1er janvier 2021, le recours est par conséquent soumis au nouveau droit (cf. art. 82a LPGA a contrario).</w:t>
      </w:r>
    </w:p>
    <w:p>
      <w:r>
        <w:rPr>
          <w:b/>
        </w:rPr>
        <w:t>E. 1.3</w:t>
      </w:r>
    </w:p>
    <w:p>
      <w:r>
        <w:t>Interjeté dans la forme et le délai prévus par la loi, le recours est prima facie recevable (art. 56 et 60 de la LPGA; art. 89B de la loi sur la procédure administrative du 12 septembre 1985 [(LPA - E 5 10)].</w:t>
      </w:r>
    </w:p>
    <w:p>
      <w:r>
        <w:rPr>
          <w:b/>
        </w:rPr>
        <w:t>E. 2.1</w:t>
      </w:r>
    </w:p>
    <w:p>
      <w:r>
        <w:t>À teneur de l’art. 49 al. 5 LPGA, en vigueur depuis le 1er janvier 2021,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w:t>
      </w:r>
    </w:p>
    <w:p>
      <w:r>
        <w:t>A/58/2024 - 4/6 -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w:t>
      </w:r>
    </w:p>
    <w:p>
      <w:r>
        <w:rPr>
          <w:b/>
        </w:rPr>
        <w:t>E. 2.2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t>A/58/2024 - 5/6 -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voir également arrêts du Tribunal fédéral 9C_ 846/2018 du 29 novembre 2019 consid. 7.1 et 9C_207/2014 du 1er mai 2014 consid. 5.3).</w:t>
      </w:r>
    </w:p>
    <w:p>
      <w:r>
        <w:rPr>
          <w:b/>
        </w:rPr>
        <w:t>E. 3</w:t>
      </w:r>
    </w:p>
    <w:p>
      <w:r>
        <w:t>En l’espèce, vu les pièces au dossier, il n’y a pas lieu d’admettre que, selon toute vraisemblance, les chances de succès du recours ne font aucun doute. En effet, la décision litigieuse est fondée sur la nouvelle enquête à domicile de l’intimé du 10 octobre 2023, dont le rapport a conclu à une progression du recourant, lequel était dorénavant capable, de façon autonome, de se vêtir, dévêtir, de manger et d’aller aux toilettes. L’infirmière évaluatrice a ensuite donné des précisions sur ses conclusions dans une note du 8 novembre 2023. Or, les rapports fournis par la recourante pour contester cette évaluation ne permettent pas de conclure, sans aucun doute qu’au degré de la vraisemblance prépondérante, le recourant n’aurait pas progressé et donc au maintien de l’API de degré moyen. En particulier, les rapports de la Dre C______ et de Madame D______ sont à cet égard insuffisants à eux seuls pour conclure, en l’état, à l’absence de valeur probante de l’enquête effectuée au domicile du recourant le 10 octobre 2023.</w:t>
      </w:r>
    </w:p>
    <w:p>
      <w:r>
        <w:rPr>
          <w:b/>
        </w:rPr>
        <w:t>E. 4</w:t>
      </w:r>
    </w:p>
    <w:p>
      <w:r>
        <w:t>Au demeurant, la requête en restitution de l’effet suspensif au recours ne peut qu’être rejetée</w:t>
      </w:r>
    </w:p>
    <w:p>
      <w:r>
        <w:t>A/58/2024 - 6/6 - PAR CES MOTIFS, LA CHAMBRE DES ASSURANCES SOCIALES : Statuant selon l’art. 21 al. 2 LPA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