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ATAS/49/2009 vom 19. Februar 2008</w:t>
      </w:r>
    </w:p>
    <w:p>
      <w:r>
        <w:t>GE Cour de justice, 2008-02-19, FR</w:t>
      </w:r>
    </w:p>
    <w:p>
      <w:r>
        <w:rPr>
          <w:b/>
        </w:rPr>
        <w:t xml:space="preserve">Quelle: </w:t>
      </w:r>
      <w:r>
        <w:t>https://mcp.opencaselaw.ch/entscheid/ge_gerichte_ATAS_49_2009</w:t>
      </w:r>
    </w:p>
    <w:p>
      <w:r>
        <w:t>FR: GE_GERICHTE ATAS/49/2009 du 19 février 2008</w:t>
      </w:r>
    </w:p>
    <w:p>
      <w:r>
        <w:t>IT: GE_GERICHTE ATAS/49/2009 del 19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SPC du 14 janvier 2009.</w:t>
      </w:r>
    </w:p>
    <w:p>
      <w:r>
        <w:rPr>
          <w:b/>
        </w:rPr>
        <w:t>E. 2</w:t>
      </w:r>
    </w:p>
    <w:p>
      <w:r>
        <w:t>Annule la décision du SPC du 19 février 2008 et la décision sur opposition du 30 septembre 2008.</w:t>
      </w:r>
    </w:p>
    <w:p>
      <w:r>
        <w:rPr>
          <w:b/>
        </w:rPr>
        <w:t>E. 3</w:t>
      </w:r>
    </w:p>
    <w:p>
      <w:r>
        <w:t>Dit que le recours est sans objet.</w:t>
      </w:r>
    </w:p>
    <w:p>
      <w:r>
        <w:rPr>
          <w:b/>
        </w:rPr>
        <w:t>E. 4</w:t>
      </w:r>
    </w:p>
    <w:p>
      <w:r>
        <w:t>Raye la cause du rôle.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