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ATAS/499/2012 vom 13. April 2012</w:t>
      </w:r>
    </w:p>
    <w:p>
      <w:r>
        <w:t>GE Cour de justice, 2012-04-13, FR</w:t>
      </w:r>
    </w:p>
    <w:p>
      <w:r>
        <w:rPr>
          <w:b/>
        </w:rPr>
        <w:t xml:space="preserve">Quelle: </w:t>
      </w:r>
      <w:r>
        <w:t>https://mcp.opencaselaw.ch/entscheid/ge_gerichte_ATAS_499_2012</w:t>
      </w:r>
    </w:p>
    <w:p>
      <w:r>
        <w:t>FR: GE_GERICHTE ATAS/499/2012 du 13 avril 2012</w:t>
      </w:r>
    </w:p>
    <w:p>
      <w:r>
        <w:t>IT: GE_GERICHTE ATAS/499/2012 del 13 aprile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A/3507/2011 ATAS/499/2012 ARRET DU TRIBUNAL ARBITRAL DES ASSURANCES du 13 avril 2012</w:t>
      </w:r>
    </w:p>
    <w:p>
      <w:r>
        <w:t>En la cause X________ à Chêne-Bourg, comparant avec élection de domicile en l'étude de Maître REY Stéphane</w:t>
      </w:r>
    </w:p>
    <w:p>
      <w:r>
        <w:t>demandeurs</w:t>
      </w:r>
    </w:p>
    <w:p>
      <w:r>
        <w:t>contre Y________ à Zürich</w:t>
      </w:r>
    </w:p>
    <w:p>
      <w:r>
        <w:t>défenderesse</w:t>
      </w:r>
    </w:p>
    <w:p>
      <w:r>
        <w:t>A/3507/2011 - 2/2 - Vu la demande en paiement de X_______ datée du 26 septembre 2011, déposée le 1er novembre 2011 ; Attendu que par courrier du 28 mars 2012, X________ a déclaré retirer sa demande ; Qu’il convient d’en prendre acte ; Que la procédure par-devant le Tribunal arbitral n'étant pas gratuite (cf. art. 46 de la loi cantonale d'application de la LAMal du 29 mai 1997 - LaLAMal), un émolument de 50 fr. sera mis à la charge des demandeurs.</w:t>
      </w:r>
    </w:p>
    <w:p>
      <w:r>
        <w:t>PAR CES MOTIFS, LE TRIBUNAL ARBITRAL DES ASSURANCES : 1. Prend acte du retrait de la demande. 2. Met un émolument de 50 fr. à la charge des demandeurs.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