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ATAS/498/2023 vom 26. Juni 2023</w:t>
      </w:r>
    </w:p>
    <w:p>
      <w:r>
        <w:t>GE Cour de justice, 2023-06-26, FR</w:t>
      </w:r>
    </w:p>
    <w:p>
      <w:r>
        <w:rPr>
          <w:b/>
        </w:rPr>
        <w:t xml:space="preserve">Quelle: </w:t>
      </w:r>
      <w:r>
        <w:t>https://mcp.opencaselaw.ch/entscheid/ge_gerichte_ATAS_498_2023</w:t>
      </w:r>
    </w:p>
    <w:p>
      <w:r>
        <w:t>FR: GE_GERICHTE ATAS/498/2023 du 26 juin 2023</w:t>
      </w:r>
    </w:p>
    <w:p>
      <w:r>
        <w:t>IT: GE_GERICHTE ATAS/498/2023 del 26 giugno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1.2</w:t>
      </w:r>
    </w:p>
    <w:p>
      <w:r>
        <w:t>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 9C_394/2009 du 8 janvier 2010 consid. 5.2 ss). De jurisprudence constante, ce n'est qu'à des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 invalidité, même si l'intéressé effectue un travail d'une certaine importance économique (arrêts du Tribunal fédéral 9C_644/2015 du 3 mai 2016 consid. 4.3.1 ; 8C_413/2015 du 3 novembre 2015 consid. 3.3.1 ; 9C_357/2014 du 7 avril 2015, consid. 2.3.1 ; 9C_624/2013 du 11 décembre 2013 consid. 3.1.1 ; 9C_834/2011 du 2 avril 2012 consid. 4 et les références).</w:t>
      </w:r>
    </w:p>
    <w:p>
      <w:r>
        <w:rPr>
          <w:b/>
        </w:rPr>
        <w:t>E. 3</w:t>
      </w:r>
    </w:p>
    <w:p>
      <w:r>
        <w:t>3.1.1 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Les dispositions transitoires de la modification du 19 juin 2020 prévoient, à la lettre b, al. 1, que pour les bénéficiaires de rente dont le droit à la rente est né avant l’entrée en vigueur de la modification en question et qui n’avaient pas encore 55 ans à l’entrée en vigueur de cette modification, la quotité de la rente ne change pas tant que leur taux d’invalidité ne subit pas de modification au sens de l’art. 17 al. 1 LPGA. 3.1.2 La Circulaire sur l’invalidité et les rentes dans l’assurance-invalidité (CIRAI), en vigueur depuis le 1er janvier 2022, a détaillé, aux pages 116 à 118, les principes applicables. Ainsi, pour connaître la situation des assurés nés entre 1967 et 1991 (« Mainstream), lesquels avaient donc entre 30 et 54 ans au moment de l’entrée en vigueur du Développement continu de l’AI, il faut déterminer quand leur droit à la rente a pris naissance : - Si le droit a pris naissance après le 1er janvier 2022, c’est la nouvelle législation qui s’applique, autrement dit le nouveau système de rentes (art. 28b LAI). - Si l’assuré avait déjà droit à une rente avant cette date, ses droits acquis sont garantis en vertu de la let. b, al. 1, des dispositions transitoires de la modification du 19 juin 2020 de la LAI. En principe, l’ancienne législation (et</w:t>
      </w:r>
    </w:p>
    <w:p>
      <w:r>
        <w:t>A/2657/2022 - 7/31 - donc l’ancien système de rentes) reste applicable jusqu’à ce que l’assuré ait atteint l’âge ordinaire de la retraite. Si, durant les années qui suivent, le taux d’invalidité est modifié dans le cadre d’une procédure de révision, il convient de distinguer si la modification s’est produite avant le 1er janvier 2022 ou si elle est supérieure à 5 points de pourcentage (art. 17 al. 1 LPGA). - Si la modification déterminante s’est produite avant le 1er janvier 2022 ou si elle est inférieure à 5 points de pourcentage, l’assuré reste dans l’ancien système de rentes. - Si elle est égale ou supérieure à 5 points de pourcentage, l’assuré passe en principe au nouveau système de rentes. Néanmoins, si l’application de l’art. 28b LAI se traduit par une baisse de la rente en cas d’augmentation du taux d’invalidité ou par une augmentation de la rente en cas de réduction (cf. let. b, al. 2, des dispositions transitoires de la modification du 19 juin 2020 de la LAI), l’assuré reste à titre exceptionnel dans l’ancien système de rentes.</w:t>
      </w:r>
    </w:p>
    <w:p>
      <w:r>
        <w:rPr>
          <w:b/>
        </w:rPr>
        <w:t>E. 3.2</w:t>
      </w:r>
    </w:p>
    <w:p>
      <w:r>
        <w:t>et les références ;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4</w:t>
      </w:r>
    </w:p>
    <w:p>
      <w:r>
        <w:t>Le délai de recours est de trente jours (art. 56 LPGA;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5</w:t>
      </w:r>
    </w:p>
    <w:p>
      <w:r>
        <w:t>Le litige porte sur le droit du recourant à une rente entière d’invalidité dès le 1er février 2016, singulièrement sur la valeur probante du rapport du Dr G______ du 10 mars 2022 et la méthode extraordinaire telle qu’appliquée par l’OAI.</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A/2657/2022 - 8/31 -</w:t>
      </w:r>
    </w:p>
    <w:p>
      <w:r>
        <w:rPr>
          <w:b/>
        </w:rPr>
        <w:t>E. 6.2</w:t>
      </w:r>
    </w:p>
    <w:p>
      <w:r>
        <w:t>En vertu de l’art. 28 al. 2 LAI, dans sa teneur en vigueur jusqu’au 31 décembre 2021, l’assuré a droit à une rente entière s’il est invalide à 70% au moins, à un trois quarts de rente s'il est invalide à 60% au moins, à une demi-rente s’il est invalide à 50% au moins, ou à un quart de rente s’il est invalide à 40% au moins.</w:t>
      </w:r>
    </w:p>
    <w:p>
      <w:r>
        <w:rPr>
          <w:b/>
        </w:rPr>
        <w:t>E. 6.3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l’espèce, l’OAI s’est notamment fondé sur les avis du SMR des 14 mars et 20 juin 2022 pour déterminer le degré d’invalidité du recourant. Dans ces avis, le SMR a examiné les conclusions des docteurs I______et J______, tous deux spécialistes FMH en chirurgie orthopédique, ainsi que l’expertise du Dr G______.</w:t>
      </w:r>
    </w:p>
    <w:p>
      <w:r>
        <w:rPr>
          <w:b/>
        </w:rPr>
        <w:t>E. 7.1</w:t>
      </w:r>
    </w:p>
    <w:p>
      <w:r>
        <w:t>Le Dr I______a été mandaté par l’assureur-accidents du recourant. A teneur de son rapport d’expertise du 4 octobre 2018 et de son complément du 28 mai 2019, le recourant était capable de travailler dans son activité habituelle, avec toutefois une diminution de rendement de 10 à 15% en raison des difficultés à se déplacer et des limitations du membre supérieur gauche. Pour sa part, le Dr J______ a été mandaté par le recourant lui-même. Dans son rapport du 28 août 2021, ce médecin a retenu une capacité de travail de 100% dans une activité adaptée, avec toutefois une diminution de rendement due à la fatigue chronique et aux lombalgies induite par le handicap et l’utilisation du fauteuil roulant. Se prononçant sur les rapports précités, le SMR a considéré, dans son avis du 20 juin 2022, qu’il fallait retenir une capacité de travail de 100% dans une activité adaptée, avec une diminution de rendement de 10 à 15%. De son côté, l’OAI a évoqué une diminution de rendement de 20% (cf. rapport d’enquête pour activité professionnelle indépendante, du 3 juin 2021, p. 10). Le recourant ne conteste pas cette appréciation, laquelle correspond en substance aux conclusions du Dr J______, médecin qu’il a lui-même mandaté. Partant, il n’y a pas lieu de s’en écarter.</w:t>
      </w:r>
    </w:p>
    <w:p>
      <w:r>
        <w:t>A/2657/2022 - 9/31 -</w:t>
      </w:r>
    </w:p>
    <w:p>
      <w:r>
        <w:rPr>
          <w:b/>
        </w:rPr>
        <w:t>E. 7.2</w:t>
      </w:r>
    </w:p>
    <w:p>
      <w:r>
        <w:t>L’OAI a également mandaté le Dr G______ pour une expertise psychiatrique. En collaboration avec Monsieur H______, le médecin précité a uniquement retenu des diagnostics sans répercussion sur la capacité de travail (trouble dépressif en rémission, troubles mentaux et troubles du comportement liés à l’utilisation de l’alcool, utilisation épisodique, ainsi que traits impulsifs). En d’autres termes, dans son rapport du 10 mars 2022, le Dr G______ a considéré que le recourant était capable de travailler à 100%. Le recourant conteste la valeur probante du rapport du Dr G______, de sorte qu’il convient d’en examiner la valeur probante.</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t>A/2657/2022 - 10/31 -</w:t>
      </w:r>
    </w:p>
    <w:p>
      <w:r>
        <w:rPr>
          <w:b/>
        </w:rPr>
        <w:t>E. 8.3</w:t>
      </w:r>
    </w:p>
    <w:p>
      <w:r>
        <w:t>Pour des motifs de proportionnalité, on peut toutefois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9.2</w:t>
      </w:r>
    </w:p>
    <w:p>
      <w:r>
        <w:t>Sans remettre en cause le principe de la libre appréciation des preuves, le Tribunal fédéral des assurances a posé des lignes directrices en ce qui concerne la manière d'apprécier certains types d'expertises ou de rapports médicaux.</w:t>
      </w:r>
    </w:p>
    <w:p>
      <w:r>
        <w:t>A/2657/2022 - 11/31 -</w:t>
      </w:r>
    </w:p>
    <w:p>
      <w:r>
        <w:rPr>
          <w:b/>
        </w:rPr>
        <w:t>E. 9.2.1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9.2.2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Ces constats ne libèrent ainsi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9.2.3</w:t>
      </w:r>
    </w:p>
    <w:p>
      <w:r>
        <w:t>On ajoutera qu'en cas de divergence d’opinion entre experts et médecins traitants, il n'est pas, de manière générale, nécessaire de mettre en œuvre une nouvelle expertise. La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A/2657/2022 - 12/31 - vérifiables ayant été ignorés dans le cadre de l'expertise et qui sont suffisamment pertinents pour remettre en cause les conclusions de l'expert (arrêt du Tribunal fédéral 8C_755/2020 du 19 avril 2021 consid. 3.2 et les références).</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11.1</w:t>
      </w:r>
    </w:p>
    <w:p>
      <w:r>
        <w:t>En l’espèce, au vu des atteintes psychiques alléguées par le recourant et son psychiatre traitant, l’intimé a mandaté le Dr G______ pour expertise et s’est par la suite fondé sur ses conclusions pour procéder au calcul du degré d’invalidité. Dans son rapport du 10 mars 2022, le Dr G______ a expliqué que le dossier qui lui était soumis comportait les diagnostics de trouble dépressif, trouble d’hyperactivité avec déficit d’attention (THADA) et de problématique d’alcool. Après avoir décrit ses constatations cliniques et soumis le recourant à des tests psychométriques, l’expert a examiné ces différentes atteintes, en se référant aux critères diagnostics du DSM-5. Il a ensuite indiqué le pendant dans la CIM-10. - Le Dr G______ a notamment évoqué le fait que le recourant avait effectué une transition de genre, pour laquelle une pris en charge psychiatrique a été imposée. Il a toujours assumé son changement de genre. - S’agissant du trouble dépressif, l’expert a considéré qu’il n’y avait aucun argument en faveur d’un épisode dépressif antérieur, de sorte que la</w:t>
      </w:r>
    </w:p>
    <w:p>
      <w:r>
        <w:t>A/2657/2022 - 13/31 - récurrence ne pouvait être retenue. En l’absence de phases maniaques et hypomaniaques, un trouble bipolaire ne pouvait pas non plus être évoqué. En ce qui concernait spécifiquement le trouble dépressif, le Dr G______ n’avait pas constaté d’aboulie ou d’apragmatisme lors de l’examen clinique. Le recourant investissait sa vie sociale et son couple. Il avait divers loisirs. Le fonctionnement extra-professionnel était maintenu. Son déménagement évoquait de bonnes capacités adaptatives et de prise de décision. Le recourant ne rencontrait en outre ni problème pour consulter les réseaux sociaux ni problèmes attentionnels vu le bilan neuropsychologique. Si le sommeil paraissait légèrement perturbé, c’était essentiellement en raison des troubles physiques. L’appétit était normal. L’expert n’avait pas constaté de suicidalité. Les quelques variations de l’humeur évoquées par le recourant ne permettaient pas de conclure à une symptomatologie dépressive continue. - Concernant le trouble de l’usage de l’alcool, le Dr G______ a évoqué une tendance aux abus d’alcool, surtout dans un contexte festif et social, le recourant n’arrivant pas à modérer sa consommation lorsqu’il débutait. La consommation ne paraissait toutefois pas continue. - L’expert psychiatre s’est également posé la question d’un trouble général de la personnalité et a considéré, dans ce contexte, qu’à l’exception de quelques traits de type impulsif, se manifestant notamment dans les difficultés à gérer sa consommation d’alcool, il n’y avait aucun indice en faveur d’un trouble significatif. - Se référant au rapport de Monsieur H______, neuropsychologue, le Dr G______ a également considéré qu’il n’y avait pas d’arguments clairs en faveur d’un trouble du déficit de l’attention avec hyperactivité. En tout état, un tel trouble attentionnel n’avait eu aucune incidence sur l’exercice de l’activité professionnelle jusqu’aux faits ayant conduit à l’expertise. - Enfin, pour l’expert, les tests psychométriques suggéraient une tendance très importante à la dramatisation et à l’amplification des plaintes. Le Dr G______ a en outre examiné les pièces contraires figurant au dossier. Il a ainsi considéré qu’il n’y avait pas de divergences majeures avec l’appréciation du Dr D______, lequel parlait d’un état dépressif en évolution largement favorable, sans argument pour un trouble majeur de la personnalité. Quant au THADA, il avait été posé sur la base d’une anamnèse réalisée par un psychologue et de tests d’auto-évaluation, lesquels dépendaient des réponses données par le recourant. Le Dr G______ relevait également que le bilan neuropsychologique réalisé durant l’hospitalisation du recourant du 10 septembre au 7 novembre 2014 n’avait pas montré de déficit de performance hormis de légers troubles de la mémoire de travail, qui avaient alors été mis en relation avec le traitement médicamenteux, étant rappelé dans ce contexte que dans son bilan, Monsieur H______évoquait des troubles neuropsychologiques minimaux.</w:t>
      </w:r>
    </w:p>
    <w:p>
      <w:r>
        <w:t>A/2657/2022 - 14/31 - L’expert a en outre relevé que selon les déclarations du recourant, l’école B______ connaissait des difficultés économiques, avec une baisse du chiffre d’affaires, en raison de la crise du Covid et compte tenu de l’arrivée d’un concurrent. Le recourant n’avait pas effectué de formation certifiante, hormis le diplôme d’employé de commerce délivré par l’école familiale. Selon son expression, son frère était « la tête » et lui « les muscles », ce qui le mettait dans une situation actuellement délicate vu son handicap physique. Selon le Mini CIF-TAPP [outil d’hétéroévaluation, pour mesurer les aptitudes psychiques], les facultés suivantes n’étaient pas entravées : adaptation à des règles et des routines, planification et structuration des tâches, flexibilité et capacité d’adaptation, application des compétences professionnelles, endurance, affirmation de soi, contacts avec les tiers, évolution dans un groupe, relations familiales et intimes, activités spontanées, soins personnels et déplacement et circulation. En revanche, il existait une légère limitation en ce qui concerne la capacité de décision et de jugement. Pour l’expert, rien n’indiquait que le recourant ait connu antérieurement des difficultés à s’adapter aux règles et routines, ni à se structurer. Il n’y avait pas d’argument objectif psychiatrique et neuropsychologique démontrant une baisse significative des capacités à se structurer, à planifier ses tâches et à s’adapter. Il avait toujours fait preuve, par le passé, de bonnes capacités d’adaptation malgré son niveau scolaire. Il avait probablement des compétences professionnelles apprises sur le tas. L’endurance d’un point de vue psychiatrique n’était pas altérée. Il pouvait assumer les tâches ménagères selon ses limitations somatiques. Sur le plan psychique, il n’y avait pas de restriction objective pour une activité lucrative adaptée à ses compétences et à sa motivation. Fort de ce qui précède, le Dr G______ n’a pas retenu de diagnostics incapacitants. En revanche, il a évoqué les diagnostics, sans répercussions sur la capacité de travail, de trouble dépressif en rémission (F32.4), troubles mentaux et troubles du comportement liés à l’utilisation de l’alcool, utilisation épisodique (F10.26) et traits impulsifs (Z73.1). Le traitement était administré dans les règles de l’art et il n’y avait pas d’indication à augmenter la posologie vu l’évolution favorable constatée et décrite par le psychiatre traitant, le Dr D______, dans son rapport du 28 octobre 2021. Par ailleurs, il n’y avait aucune indication à prescrire d’autres médicaments au vu des troubles neuropsychologiques minimaux.</w:t>
      </w:r>
    </w:p>
    <w:p>
      <w:r>
        <w:rPr>
          <w:b/>
        </w:rPr>
        <w:t>E. 11.2</w:t>
      </w:r>
    </w:p>
    <w:p>
      <w:r>
        <w:t>De son côté, le recourant ne fournit pas d'éléments objectifs précis qui justifieraient, d'un point de vue médical, d'envisager la situation selon une perspective différente ou, à tout le moins, la mise en œuvre d'un complément d'instruction. En effet, il n’a produit aucun rapport de son psychiatre traitant ou d’un autre professionnel de la santé, dans lequel les constatations et conclusions du Dr G______ seraient critiquées du point de vue médical mais il s’est limité à relever des contradictions, dans la rédaction du rapport.</w:t>
      </w:r>
    </w:p>
    <w:p>
      <w:r>
        <w:t>A/2657/2022 - 15/31 - Ainsi, par exemple, se référant aux pages 5 et 12 de l’expertise, le recourant reproche au Dr G______ des erreurs et contradictions s’agissant de son niveau de formation, dans la mesure où, tantôt il est retenu un diplôme d’employé de commerce, tantôt non. Certes, il semble y avoir eu une confusion au sujet de l’existence – ou non – d’un tel diplôme. Cette confusion ne se retrouve toutefois pas seulement chez l’expert, mais également chez les Conseils du recourant et la chambre de céans. En effet, dans le recours du 23 janvier 2019, les actuels Conseils du recourant évoquaient clairement un diplôme délivré par l’école B______, ce qui a été repris par la chambre de céans dans son ATAS/326/2020 du 28 avril 2020. Cette confusion est donc générale. Cela étant, l’existence – ou non – d’un diplôme de cette école ne modifie en rien l’appréciation de la capacité de travail du point de vue psychique, dès lors que c’est la capacité du recourant à effectuer son activité habituelle qui a été examinée et non celle à effectuer une activité correspondant au diplôme évoqué, à tort, dans le dossier du recourant. Le recourant reproche également au Dr G______ d’être en contradiction avec les conclusions de Monsieur H______, notamment s’agissant de la « certaine tendance à la dramatisation et à l’amplification des plaintes » (page 22 de l’expertise) ou du TDAH. En réalité, en ce qui concerne la tendance à la dramatisation, force est toutefois de constater que le Dr G______ et Monsieur H______n’ont pas effectué les mêmes tests et que leurs remarques respectives concernaient leurs domaines de spécialisation, lesquels ne sont pas identiques, la psychiatrie pour l’un et la neuropsychologie pour l’autre, le premier ayant examiné le recourant pour déterminer l’existence – ou non – d’atteintes psychiques, telles que la dépression et l’anxiété, alors que le second a examiné le recourant à la recherche de troubles neuropsychologiques. En ce qui concerne le TDAH, Monsieur H______a renvoyé au psychiatre pour le diagnostic, lequel n’a justement pas été retenu par le Dr G______, ce qui n’est pas remis en question, en tant que tel, par le recourant. Enfin, le recourant critique les conclusions de Monsieur H______et plus particulièrement son appréciation des répercussions des troubles neuropsychologiques minimes sur l’activité professionnelle, qu’il exclut et la diminution de rendement de 10% qu’il retient pour l’apprentissage de la fonction de coach. Concrètement, le recourant ne comprend pas en quoi l’activité de coaching serait plus exigeante, au plan cognitif, que celle de co-directeur d’école chargé de tâches purement administratives. Force est de constater, au vu du rapport du neuropsychologue, que celui-ci a examiné les répercussions des troubles neuropsychologiques sur l’activité habituelle, laquelle a été décrite de la manière suivante par le recourant (rapport p. 2) : beaucoup de tâches de logistique (entretien du bâtiment), gestion et tenue de la buvette, quelques tâches administratives (entretiens d’inscription, gestion de conflits entre élèves). Le recourant a précisé au neuropsychologue qu’il ne s’occupait pas des tâches plus complexes, telles que la comptabilité, la gestion des salaires ou des contrats</w:t>
      </w:r>
    </w:p>
    <w:p>
      <w:r>
        <w:t>A/2657/2022 - 16/31 - d’assurance, etc. Lors de l’examen neuropsychologique, le recourant tentait de se former en tant que coach. Eu égard à ce qui précède, force est de constater que les critiques formulées par le recourant ne permettent pas de s’écarter, dans le cas particulier, des conclusions du Dr G______ et de celui de Monsieur H______, cela d’autant moins qu’elles ne se fondent sur aucun avis médical.</w:t>
      </w:r>
    </w:p>
    <w:p>
      <w:r>
        <w:rPr>
          <w:b/>
        </w:rPr>
        <w:t>E. 11.3</w:t>
      </w:r>
    </w:p>
    <w:p>
      <w:r>
        <w:t>En conclusion, l’instruction médicale menée par l’intimé a montré que le recourant était capable de travailler à 100% dans une activité adaptée aux limitations fonctionnelles (éviter la marche [vu l’amputation du membre inférieur gauche et l’utilisation d’une chaise roulante], les déplacements, le port de charges ; limitations de la préhension et de l’utilisation d’un ordinateur [déficit du membre supérieur gauche] et éviter les tâches ménagères), avec une diminution de rendement de 20%</w:t>
      </w:r>
    </w:p>
    <w:p>
      <w:r>
        <w:rPr>
          <w:b/>
        </w:rPr>
        <w:t>E. 12</w:t>
      </w:r>
    </w:p>
    <w:p>
      <w:r>
        <w:t>Le recourant conteste ensuite le calcul du degré d’invalidité effectué par l’OAI.</w:t>
      </w:r>
    </w:p>
    <w:p>
      <w:r>
        <w:rPr>
          <w:b/>
        </w:rPr>
        <w:t>E. 12.1</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12.2</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w:t>
      </w:r>
    </w:p>
    <w:p>
      <w:r>
        <w:rPr>
          <w:b/>
        </w:rPr>
        <w:t>E. 12.2.1</w:t>
      </w:r>
    </w:p>
    <w:p>
      <w:r>
        <w:t>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w:t>
      </w:r>
    </w:p>
    <w:p>
      <w:r>
        <w:t>A/2657/2022 - 17/31 - proportionnelle du bénéfice. De telles circonstances nécessitent bien plutôt l'examen concret de la situation de la personne assurée (arrêt du Tribunal fédéral 9C_44/2011 du 1er septembre 2011 consid. 4.2 et 4.3).</w:t>
      </w:r>
    </w:p>
    <w:p>
      <w:r>
        <w:rPr>
          <w:b/>
        </w:rPr>
        <w:t>E. 12.2.2</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w:t>
      </w:r>
    </w:p>
    <w:p>
      <w:r>
        <w:rPr>
          <w:b/>
        </w:rPr>
        <w:t>E. 12.2.3</w:t>
      </w:r>
    </w:p>
    <w:p>
      <w:r>
        <w:t>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w:t>
      </w:r>
    </w:p>
    <w:p>
      <w:r>
        <w:t>A/2657/2022 - 18/31 - des tâches de gestion ne permet en principe de compenser que de manière très limitée les répercussions économiques résultant de l'atteinte à la santé (arrêt du Tribunal fédéral 9C_580/2007 du 17 juin 2008 consid. 5.4). Concrètement, la détermination de l’invalidité se fait en deux temps dans le cadre de la méthode extraordinaire (Circulaire sur l’invalidité et les rentes dans l’assurance-invalidité [CIRAI], en vigueur depuis le 1er janvier 2022, ch. 3800s. ; voir également la Circulaire de l'OFAS concernant l'invalidité et l'impotence de l'assurance-invalidité établie [CIIAI], en vigueur jusqu’à 31 décembre 2021, ch. 3105s) : - Il faut, tout d’abord, effectuer une comparaison des champs d’activités, en établissant quelles sont les activités que l’assuré pourrait exercer avec et sans atteinte à la santé, et dans quel laps de temps il pourrait les accomplir. Dans ce contexte, il y a notamment lieu d’examiner dans quelle mesure il lui serait possible de réduire sa perte de gain, en substituant à certaines des tâches qu’il accomplissait auparavant d’autres tâches, mieux adaptées au handicap dont il souffre. - Ensuite, il s’agira de pondérer les activités en appliquant à chaque activité le salaire de référence usuel dans la branche. On peut ainsi déterminer le revenu sans invalidité et le revenu d’invalide et effectuer une comparaison des revenus. Concrètement, il y a lieu de pondérer les activités exercées par l'indépendant en appliquant à chaque activité le salaire de référence usuel dans la branche. L'incidence des empêchements dans les diverses activités sur la capacité de gain peut se déterminer de deux manières différentes : - Selon la formule suivante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 Selon le tableau suivant (ch. 3802 CIRAI ; voir également ch. 3106 CIAII) :</w:t>
      </w:r>
    </w:p>
    <w:p>
      <w:r>
        <w:t>A/2657/2022 - 19/31 -</w:t>
      </w:r>
    </w:p>
    <w:p>
      <w:r>
        <w:t>Description des activités Pondération sans handicap Pondération avec handicap Revenu en francs Revenu sans handicap Revenu avec handicap</w:t>
      </w:r>
    </w:p>
    <w:p>
      <w:r>
        <w:t>… …% …% CHF … CHF … CHF … Total 100% …% CHF … CHF … CHF … La détermination du degré d’invalidité s’effectue ensuite de la manière suivante :</w:t>
      </w:r>
    </w:p>
    <w:p>
      <w:r>
        <w:t>Revenu sans handicap - Revenu avec handicap</w:t>
      </w:r>
    </w:p>
    <w:p>
      <w:r>
        <w:t>Perte de gain liée au handicap Et la perte de gain en % (correspondant à l’invalidité en %) = perte de gain liée au handicap / revenu sans invalidité.</w:t>
      </w:r>
    </w:p>
    <w:p>
      <w:r>
        <w:rPr>
          <w:b/>
        </w:rPr>
        <w:t>E. 12.3.1</w:t>
      </w:r>
    </w:p>
    <w:p>
      <w:r>
        <w:t>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Tribunal fédéral 9C_810/2017 du 9 avril 2018 consid.</w:t>
      </w:r>
    </w:p>
    <w:p>
      <w:r>
        <w:rPr>
          <w:b/>
        </w:rPr>
        <w:t>E. 12.3.2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w:t>
      </w:r>
    </w:p>
    <w:p>
      <w:r>
        <w:t>A/2657/2022 - 20/31 -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12.3.3</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12.3.4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w:t>
      </w:r>
    </w:p>
    <w:p>
      <w:r>
        <w:t>A/2657/2022 - 21/31 -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Les tableaux TA1, T1 et T17 de l'ESS 2020 ont été publiés le 23 août 2022; l’ESS 2018 a été publiée le 21 avril 2020; l’ESS 2016, le 26 octobre 2018 (étant précisé que le tableau T1_tirage_skill_level a été corrigé le 8 novembre 2018)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4.1ss. et les références). L'étendue de l'abattement justifié dans un cas concret relève du pouvoir d'appréciation (ATF 132 V 393 consid. 3.3). Cette évaluation revient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w:t>
      </w:r>
    </w:p>
    <w:p>
      <w:r>
        <w:t>A/2657/2022 - 22/31 - l'administration;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12.3.4.1</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13.1</w:t>
      </w:r>
    </w:p>
    <w:p>
      <w:r>
        <w:t>En l’espèce, par décision du 7 décembre 2018, l’OAI a octroyé au recourant une rente limitée dans le temps, qui a été supprimée avec effet au 1er février 2016. Contestant la suppression de la rente, l’assuré a interjeté recours auprès de la chambre de céans. Celle-ci a considéré, dans son ATAS/326/2020 du 28 avril 2020, que la méthode extraordinaire d'évaluation de l'invalidité était la mieux à même de permettre une évaluation conforme au droit des effets de l'atteinte à la santé sur la capacité de gain de l'assuré. Concrètement, la Chambre de céans a également critiqué la pondération des activités telles qu’effectuée par l’OAI, considérant notamment que l’office intimé devait examiner la possibilité de substituer aux activités d’enseignement de la dactylographie, gestion du stock et maintenance, le coaching ou toute autre activité en lien avec le perfectionnement professionnel éventuellement pris en charge. Par ailleurs, la pondération des cours de dactylographie devait être calculée sur la base du nombre d’heures effectivement dispensé, potentiellement sur plusieurs années scolaires en cas de fluctuation importante d’une année à l’autre. Enfin, une fois la pondération arrêtée, l’intimé devait déterminer le salaire statistique relatif à chaque champ d’activités selon les statistiques applicables. En effet, on ne pouvait se fonder exclusivement sur le résultat de la comparaison des activités, car cela revenait à faire fi de l’incapacité de gain, laquelle était pourtant déterminante pour le calcul du degré d’invalidité. La chambre de céans a donc renvoyé la cause à l’office intimé pour instruction complémentaire sur les questions précitées.</w:t>
      </w:r>
    </w:p>
    <w:p>
      <w:r>
        <w:rPr>
          <w:b/>
        </w:rPr>
        <w:t>E. 13.2.1</w:t>
      </w:r>
    </w:p>
    <w:p>
      <w:r>
        <w:t>Suite à ce renvoi, l’office intimé a récolté les informations manquantes, notamment en ce qui concernait les heures d’enseignement de la dactylographie. Il a également validé, avec le recourant, la pondération des champs d’activités avant l’atteinte à la santé, à savoir : 55% Direction, gestion de l’école, encadrement des élèves 35% Enseignement et surveillance des cours de dactylographie 5% Gestion du stock</w:t>
      </w:r>
    </w:p>
    <w:p>
      <w:r>
        <w:t>A/2657/2022 - 23/31 - 5% Entretien et maintenance Se fondant sur l’organigramme pour l’année scolaire 2017-2018, l’office intimé a ensuite examiné la situation du recourant après l’atteinte à la santé et a considéré que celui-ci, en tant que responsable d’une partie de l'administration de l’école, effectuait les tâches suivantes : secrétariat ; établissement des horaires ; publicité ; facturation et contentieux ; lien avec l’office cantonal de la population et des migrations (OCPM, anciennement OCP), le service des bourses et prêts d'études (SBPE), la Fondation Wilsdorf et l’assurance-invalidité (AI) ; formation des stagiaires ; renseignements, inscriptions et suivi de scolarité avec les candidats et leurs responsables ; responsable pour la CAF (chèque annuel de formation). En particulier, le recourant procédait aux admissions des élèves. Sur site, il était également responsable des règles de vie de l’école. Il se chargeait de régler et de suivre les dossiers contentieux, de demander les bourses d’études. Il gérait les conflits et les contestations de notes. Il accompagnait les élèves dans leur parcours et les aidait dans les recherches de stage. Le recourant organisait également des rencontres avec les parents d’élèves en cas d’absentéismes ou compte tenu des résultats scolaires. Depuis la pandémie, il y avait plus d’interactions par téléphone. Enfin, le recourant était à l’écoute et disponible pour le personnel de l’école, les familles, les élèves et d’autres intervenants. Fort de ce qui précède, l’office intimé a procédé à une première comparaison des champs d’activités, laquelle tenait compte de la situation effective, et est arrivé à la conclusion que l’incapacité de travail du recourant s’élevait à 55,30% : Champs d’activité Horaire (semaine) sans handicap Horaire (semaine) rentable avec handicap Empêchement lié au handicap Incapacité de travail dans l’activité habituelle Direction / administration1 27.75h (55%) 22.30h (44,60%) 20% 10,80% Dactylographie2 17.25h (35%) 0.00h (0%) 100% 34,50% Gestion du stock 2.50h (5%) 0.00h (0%) 100% 5,00% Entretien et maintenance3 2.50h (5%) 0.00h (0%) 100% 5,00% Total 55h (100%) 22.30h (44,60%)</w:t>
      </w:r>
    </w:p>
    <w:p>
      <w:r>
        <w:t>55,30% 1 Facturation, relances et arrangements, informations, inscriptions, demandes des bourses d’études, statistiques, responsable pédagogique, coaching scolaire, gestions des conflits, responsable pédagogique. 2 Enseignement de la dactylographie, sur des périodes de 45 min (5x), surveillance / remplacement de dernière minute. 3 Quotidien en fonction des demandes, week-ends, vacances, réfection de l’école.</w:t>
      </w:r>
    </w:p>
    <w:p>
      <w:r>
        <w:t>A/2657/2022 - 24/31 - Constatant qu’une capacité de travail entière était exigible dans une activité adaptée, l’intimé a considéré qu’il pouvait être attendu du recourant qu’il réorganisât son travail au sein de l’école familiale. L’office intimé a donc procédé à une nouvelle comparaison des champs d’activités afin d’en déduire l’incapacité de travail en fonction de ce qu’il estimait exigible du recourant. Concrètement, l’OAI a considéré que la capacité de travail du recourant était de 100%, selon un temps de travail usuel de 41,7 heures hebdomadaires, étant rappelé que le temps de travail avant l’accident était de 50 heures par semaine, ce qui entraînait une diminution d’environ 16%. Les limitations fonctionnelles (en raison de l’amputation du membre inférieur gauche : éviter la marche, les déplacements, le port de charges ; en raison d’un déficit du membre supérieur gauche : limitations de la préhension et de l’utilisation d’un clavier, éviter les tâches ménagères) entraînaient, selon l’office, une diminution de rendement de 20%. En retenant un temps de travail exigible de 41,7 heures par semaine et une diminution de rendement de 20% vu les limitations fonctionnelles, l’OAI a procédé à une nouvelle comparaison des champs d’activités :</w:t>
      </w:r>
    </w:p>
    <w:p>
      <w:r>
        <w:t>Champs d’activité Horaire (semaine) sans handicap Horaire (semaine) avec handicap Empêche- ment Incapacité de travail dans l’activité habituelle Incapacité de travail dans l’activité habituelle Direction / administration 27.75h 55% 41,70h 20% 33.36h 66.72% -11.72% Dactylographi e 17.25h 35% 0.00h 100% 0h 0% 34,50% Gestion du stock 2.50h 5% 0.00h 100% 0h 0%. 5,00% Entretien et maintenance 2.50h 5% 0.00h 100% 0h 0% 5,00% Total 55h 100%</w:t>
      </w:r>
    </w:p>
    <w:p>
      <w:r>
        <w:t>33.36h 66.72% 32.78% L’office intimé a ensuite procédé à l’évaluation de l’invalidité selon la méthode extraordinaire, en fonction de l’exigibilité retenue, ce qui a conduit à une invalidité de 24% :</w:t>
      </w:r>
    </w:p>
    <w:p>
      <w:r>
        <w:t>A/2657/2022 - 25/31 -</w:t>
      </w:r>
    </w:p>
    <w:p>
      <w:r>
        <w:t>Champs d’activité Horaire (semaine) sans handicap Horaire (semaine) rentable avec handicap Empêchement lié au handicap Salaire annuel hypothétique sans handicap Salaire annuel hypothétique avec handicap Perte économique en CHF Direction / administration 27.75h 41,7h 20% 64'042.70 76'989.70 - 12'947.00 Dactylo 17.25h 0h 100% 30'505.15 0.00 30'505.15 Gestion du stock 2.50h 0h 100% 3'552.85 0.00 3'552.85 Entretien et maintenance 2.50h 0h 100% 3'233.20 0.00 3'233.20 Total 55h 41,7h</w:t>
      </w:r>
    </w:p>
    <w:p>
      <w:r>
        <w:t>101'333.90 76'989.70 24'344.20 Invalidité</w:t>
      </w:r>
    </w:p>
    <w:p>
      <w:r>
        <w:t>24%</w:t>
      </w:r>
    </w:p>
    <w:p>
      <w:r>
        <w:rPr>
          <w:b/>
        </w:rPr>
        <w:t>E. 13.2.2</w:t>
      </w:r>
    </w:p>
    <w:p>
      <w:r>
        <w:t>Force est de constater, en premier lieu, que l’intimé a appliqué la méthode extraordinaire pour calculer le degré d’invalidité. Conformément aux instructions de la chambre de céans dans son ATAS/326/2020, l’intimé a récolté les relevés d’heures relatifs à l’enseignement de la dactylographie et a pondéré les activités antérieurement à l’accident et à l’atteinte incapacitante en collaboration avec le recourant, lequel ne conteste désormais plus la pondération. Il convient donc de s’y référer. Cependant, contrairement aux instructions de la chambre de céans dans l’ATAS précité, l’office intimé n’a pas examiné s’il était concrètement possible de substituer aux activités d’enseignement de la dactylographie, gestion du stock et maintenance, le coaching ou toute autre activité adaptée aux compétences du recourant. En réalité, l’office intimé a procédé de manière théorique, en retenant, dans son rapport d’enquête, que « dans le cas [du recourant], la capacité de travail exigible dans une activité adaptée est possible à 100%. Par conséquent, on peut exiger qu’il réorganise son travail au sein de l’école familiale en fonction de ses aptitudes résiduelles. [Le recourant] a débuté son parcours professionnel au sein de l’école familiale. Avec toutes ses années d’expérience au sein de l’établissement, il a acquis la connaissance nécessaire pour assumer les tâches de directions qu’il partage déjà avec son frère. [Le recourant] est en mesure d’assumer les missions pédagogiques, administratives et sociales de l’école. Elles se traduisent dans la vie par une organisation, une gestion et un pilotage de l’établissement. L’assuré est membre de la direction a même titre que son frère. L’assuré a montré par le passé, une certaine flexibilité, ayant exercé des activités interchangeables avec son frère ». Fort de ces constatations, l’OAI a considéré qu’il pouvait être exigé du recourant qu’il exerce l’activité de direction et administration à 100%, soit pendant 41,7 heures par semaine, avec la diminution de rendement de 20% déjà évoquée.</w:t>
      </w:r>
    </w:p>
    <w:p>
      <w:r>
        <w:t>A/2657/2022 - 26/31 - La position de l’OAI ne saurait toutefois être suivie pour les motifs suivants : - Avant l’accident, le recourant s’occupait de tâches administratives bien précises, à savoir : secrétariat, facturation et contentieux ; établissement des horaires et organisation des formations ; publicité ; lien avec l’OCP, AI, OCE, SBPE ; formation des stagiaires ; renseignements, inscriptions, suivi de la scolarité avec les candidats et leurs responsables ; responsables pour la CAF (cf. organigramme 2013-2014, doc. 92, OAI). Il n’exerçait en revanche aucune des tâches plus complexes suivantes, lesquelles étaient à la charge de son frère : comptabilité ; gestion du parc informatique ; représentant de l’école auprès de l’AGEP et de la FSEP, responsable auprès de l’OFPC pour le CFC : responsable label eduQua et maître de stage (cf. organigramme 2013-2014, doc. 92 OAI). Le recourant a de toute évidence acquis de l’expérience dans des domaines bien particuliers. Or, ces domaines ne correspondent pas à ceux exercés par son frère. On ne saurait donc considérer, comme l’a fait l’OAI, que les compétences du recourant et de son frère sont interchangeables et retenir, sans plus amples investigations, que le recourant est capable d’effectuer efficacement des tâches auparavant attribuées à son frère. - Avant son accident, le recourant ne s’occupait pas de la pédagogie, laquelle était intégralement prise en charge par son frère (cf. organigramme 2013- 2014, doc. 92, OAI). On ne peut dès lors pas attendre du recourant qu’il assume des missions pédagogiques. - Suite à l’accident, le recourant a repris les tâches qu’il exerçait auparavant (cf. organigramme 2017-2018, doc. 92 OAI), avec une efficacité moindre (cf. audition du 13 mars 2023). - Le recourant ne dispose pas de la formation et des connaissances nécessaires pour exercer efficacement et correctement plusieurs des tâches administratives attribuées à son frère, ce que l’OAI ne conteste du reste pas. Certes, comme l’a relevé l’OAI lors de son audition le 13 mars 2023, il faut un lien avec le handicap pour exclure des activités exigibles. Cela étant, on ne saurait retenir, de manière théorique, que le recourant est capable d’effectuer toute activité administrative ou de direction, alors que celui-ci n’a aucune formation dans ce domaine et qu’il a acquis de l’expérience seulement dans certaines activités qu’il a d’ailleurs reprises après son accident, avec toutefois une diminution de rendement due à ses limitations fonctionnelles. De plus, dans tous les cas, dans une petite structure comme celle de l’école B______, on ne saurait exiger du recourant qu’il réorganise ses activités au détriment de son frère. Au demeurant, le recourant a lui-même expliqué que la réorganisation voulue par</w:t>
      </w:r>
    </w:p>
    <w:p>
      <w:r>
        <w:t>A/2657/2022 - 27/31 - l’OAI n’était pas possible, dès lors qu’il lui paraissait compliqué d'envisager le licenciement d'employés, alors qu'ils effectuaient des tâches qu’il n'arriverait pas à assumer complètement. De toute évidence, c’est bien parce qu’il est associé au même titre que son frère que le recourant a pu réintégrer l’école B______. En effet, de son propre aveu, il n’est pas très efficace dans les tâches qu’il effectue, en comparaison avec les employés de l'école ou son frère (cf. audition du 13 mars 2023). Il a d’ailleurs relevé que s’il était employé, son frère l’aurait déjà licencié.</w:t>
      </w:r>
    </w:p>
    <w:p>
      <w:r>
        <w:rPr>
          <w:b/>
        </w:rPr>
        <w:t>E. 13.2.3</w:t>
      </w:r>
    </w:p>
    <w:p>
      <w:r>
        <w:t>S’y ajoute le fait que l’OAI n’a pas retenu les bonnes statistiques pour le calcul de l’invalidité selon la méthode extraordinaire. En effet, il s’est référé à la table TA1, en vigueur jusqu’aux ESS 2010 alors que l’accident est survenu en 2014 et que le calcul des revenus est effectué en 2022, avec effet à 2016. A cette date, la table TA1 avait été remplacée par la table TA1_skill_level depuis plusieurs années. Or, dans la table TA1_skill_level, aucun des domaines d’activité retenus par l’OAI (701001, 8542, 521000 et 811000) n’existe encore en tant que tel. Si les montants relatifs aux activités de gestion de stock et d’entretien et maintenance coïncident, tel n’est pas le cas de ceux relatifs à la direction/administration ainsi qu’à la dactylographie.</w:t>
      </w:r>
    </w:p>
    <w:p>
      <w:r>
        <w:rPr>
          <w:b/>
        </w:rPr>
        <w:t>E. 13.3.1</w:t>
      </w:r>
    </w:p>
    <w:p>
      <w:r>
        <w:t>Il ressort donc de ce qui précède que le recourant n’est pas en mesure d’augmenter la part de tâches administratives, en raison, d’une part, de son manque formation et de connaissances dans les domaines en question et, d’autre part, de l’organisation interne de l’école B______. Dans de telles circonstances, l’office intimé aurait dû procéder au calcul du degré d’invalidité conformément à la situation concrète, soit : Champs d’activité Horaire (semaine) sans handicap Horaire (semaine) rentable avec handicap Empêchement lié au handicap Salaire annuel hypothétique sans handicap Salaire annuel hypothétique avec handicap Perte économique en CHF Direction / administration1 27.75h (55%) 22h30 (44.6%) 20% 63'175.005 51'229.00 11'946.00 Dactylo2 17.25h (35%) 0h (0%) 100% 30'946.006 0.00 30'946.006 Gestion du stock3 2.50h (5%) 0h (0%) 100% 3'665.007 0.00 3'665.007 Entretien et maintenance4 2.50h (5%) 0h (0%) 100% 3'665.008 0.00 3'665.008 Total 55h 22h30</w:t>
      </w:r>
    </w:p>
    <w:p>
      <w:r>
        <w:t>101'451.00 51'229.00 50'222.00 Invalidité</w:t>
      </w:r>
    </w:p>
    <w:p>
      <w:r>
        <w:t>49.5%</w:t>
      </w:r>
    </w:p>
    <w:p>
      <w:r>
        <w:t>A/2657/2022 - 28/31 - 1 ESS 2016 - Tabelle TA1_skill_level, ligne 69-75 (activités spécialisées, scientifiques et techniques telles qu’activité juridique, comptables, de gestion, et autres activités), niveau de compétence 4 : CHF 9'181.- 2 ESS 2016 – Tabelle TA1_skill_level, ligne 85 (enseignement), niveau de compétence 3, CHF 7'068 .- 3 ESS 2016 – Tabelle TA1_skill_level, ligne 49-52 (transport terrestres, par eau, aériens ; entreposage), niveau de compétence 2, CHF 5'680.- 4 ESS 2016 – Tabelle TA1_skill_level, ligne 77, 79-82 (Activités de services admin), niveau de compétence 2, CHF 5'169.- 5 (CHF 9'181.- x 41,7) / 40 = CHF 9'572.- ; CHF 9'572 x 12 = 114'864.-; 55% de CHF 114'864.- = CHF 63'175.- 6 (CHF 7’068.- x 41,7) / 40 = CHF 7'368.- ; CHF 7'368 x 12 = 88'416.-; 35% de CHF 88'416.- = CHF 30'946.- 7 (CHF 5'680.- x 41,7) / 40 = CHF 6'109.- ; CHF 6'109 x 12 = 73'308.-; 5% de CHF 73'308.- = CHF 3'665- 8 (CHF 5'680.- x 41,7) / 40 = CHF 6'109.- ; CHF 6'109 x 12 = 73'308.-; 5% de CHF 73'308.- = CHF 3'665- 9 (CHF 9'181.- x 41,7) / 40 = CHF 9'572.- ; CHF 9'572 x 12 = 114'864.-; 44.6% de CHF 114'864.- = CHF 51’229.- 10 (CHF 7’068.- x 41,7) / 40 = CHF 7'368.- ; CHF 7'368 x 12 = 88'416.-; 0% de CHF 88'416.- = CHF 0.00- 11 (CHF 5'680.- x 41,7) / 40 = CHF 6'109.- ; CHF 6'109 x 12 = 73'308.-; 0% de CHF 73'308.- = CHF 0.00- 12 (CHF 5'680.- x 41,7) / 40 = CHF 6'109.- ; CHF 6'109 x 12 = 73'308.-; 0% de CHF 73'308.- = CHF 0.00- Il ressort de ce qui précède que le degré d’invalidité du recourant est de 49,5%, soit 50% (cf. consid. 6.2 supra), ce qui donne droit à une demi-rente d’invalidité.</w:t>
      </w:r>
    </w:p>
    <w:p>
      <w:r>
        <w:rPr>
          <w:b/>
        </w:rPr>
        <w:t>E. 13.3.2</w:t>
      </w:r>
    </w:p>
    <w:p>
      <w:r>
        <w:t>Le résultat serait le même si l’on devait considérer que le recourant devait se réorienter et changer de profession. Le revenu sans invalidité, tel qu’il ressort du compte individuel du recourant, correspond à un salaire de base de CHF 89'000.- entre 2006 et 2013 et de CHF 91'062.- en 2016 après indexation. Conformément à la jurisprudence, il convient de recourir aux ESS et plus spécifiquement à la table TA1_skill_level pour déterminer le revenu avec invalidité du recourant, de sorte que c’est un salaire de CHF 5'340.-, soit CHF 64’080.- par année, qui doit être pris en considération (ligne total, pour un homme, avec un niveau de compétence 1). Comme les salaires bruts standardisés tiennent compte d’un horaire de 40 heures par semaine, soit d’une durée hebdomadaire de travail inférieure à la moyenne usuelle dans les entreprises en 2016 (41,7 heures par semaine ; Office fédéral de la statistique - statistique de la durée normale du travail dans les entreprises, DNT), ce montant doit être porté à CHF 66’804.- (CHF 64'080.- x 41.7 / 40). Pour le surplus, une diminution de rendement de 20% ayant été retenue par le SMR, c’est l’équivalent d’une activité adaptée à 80% que le recourant est encore en mesure d’exercer de sorte qu’il convient de réduire le salaire annuel afin de l’adapter à sa capacité de travail résiduelle, ce qui revient à CHF 53’443.-. Par ailleurs, s’agissant de l’abattement,</w:t>
      </w:r>
    </w:p>
    <w:p>
      <w:r>
        <w:t>A/2657/2022 - 29/31 - on peut admettre que le recourant présente une limitation en lien avec sa main gauche et son membre inférieur gauche, lequel a été amputé (pas de marche, de déplacements et de port de charges vu l’utilisation d’une chaise roulante ; limitations de la préhension et de l’utilisation d’un clavier d’ordinateur). Cela étant, ces limitations quant au spectre des professions demeurant envisageables ne sauraient justifier un abattement excédant 15%, conformément à la jurisprudence rendue par le Tribunal fédéral dans des causes similaires (cf. David IONTA, Fixation du revenu d’invalide selon l’ESS, in Jusletter du 22 octobre 2018, pp. 32 à 36 et du même auteur, Revenu d’invalide selon l’ESS – une mise à jour in Jusletter du 21 novembre 2022, p. 34 à 40 pour des exemples). Pour le reste, le recourant ne démontre pas que d’autres circonstances seraient susceptibles de diminuer concrètement ses perspectives salariales sur un marché du travail équilibré. En effet, selon la jurisprudence récente,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lieu d'effectuer un abattement à ce titre (arrêt du Tribunal fédéral 8C_103/2018 du 25 juillet 2018 consid. 5.1-5.2). Partant, le salaire avec invalidité est de CHF 45'427.-, après abattement de 15%. Après comparaison des revenus, le degré d’invalidité du recourant serait par conséquent également de 50% (CHF 91'062.- - CHF 45'427.- / CHF 91'062.-), pour une capacité de travail de 80% dans une activité adaptée, ce qui correspondrait aussi à une demi-rente.</w:t>
      </w:r>
    </w:p>
    <w:p>
      <w:r>
        <w:rPr>
          <w:b/>
        </w:rPr>
        <w:t>E. 13.4</w:t>
      </w:r>
    </w:p>
    <w:p>
      <w:r>
        <w:t>Il ressort donc des considérations qui précèdent que dans tous les cas, le recourant a droit à une demi-rente d’invalidité, son degré d’invalidité étant de 50% quelle que soit la méthode appliquée – comparaison des revenus ou méthode extraordinaire. L’OAI ne pouvait ainsi pas supprimer la demi-rente avec effet au 1er février 2016.</w:t>
      </w:r>
    </w:p>
    <w:p>
      <w:r>
        <w:rPr>
          <w:b/>
        </w:rPr>
        <w:t>E. 14</w:t>
      </w:r>
    </w:p>
    <w:p>
      <w:r>
        <w:t>Au vu de ce qui précède, le recours est partiellement admis et la décision litigieuse annulée en tant qu’elle met un terme à la demi-rente avec effet au 31 janvier 2016. L’OAI est ainsi invité à poursuivre le versement de la demi-rente d’invalidité au-delà du 31 janvier 2016. Le recourant, représenté par un avocat, obtenant partiellement gain de cause, une indemnité de CHF 2'500.- lui sera accordée à titre de participation à ses frais et dépens (art. 61 let. g LPGA ; art. 6 du règlement sur les frais, émoluments et indemnités en matière administrative du 30 juillet 1986 [RFPA - E 5 10.03]).</w:t>
      </w:r>
    </w:p>
    <w:p>
      <w:r>
        <w:t>A/2657/2022 - 30/31 - La procédure en matière d'octroi de prestations de l'assurance-invalidité n'étant pas gratuite (art. 69 al. 1bis LAI), l'intimé supporte l'émolument de procédure de CHF 200.-.</w:t>
      </w:r>
    </w:p>
    <w:p>
      <w:r>
        <w:t>A/2657/2022 - 31/31 -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